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04" w:rsidRPr="003F05E2" w:rsidRDefault="00F56204" w:rsidP="00F56204">
      <w:pPr>
        <w:spacing w:line="360" w:lineRule="atLeast"/>
        <w:jc w:val="center"/>
        <w:rPr>
          <w:rFonts w:eastAsia="黑体"/>
          <w:b/>
          <w:spacing w:val="160"/>
          <w:sz w:val="44"/>
          <w:szCs w:val="44"/>
        </w:rPr>
      </w:pPr>
      <w:bookmarkStart w:id="0" w:name="_GoBack"/>
      <w:bookmarkEnd w:id="0"/>
      <w:r>
        <w:rPr>
          <w:rFonts w:eastAsia="黑体" w:hint="eastAsia"/>
          <w:b/>
          <w:spacing w:val="160"/>
          <w:sz w:val="44"/>
          <w:szCs w:val="44"/>
        </w:rPr>
        <w:t>教师授课教</w:t>
      </w:r>
      <w:r w:rsidRPr="003F05E2">
        <w:rPr>
          <w:rFonts w:eastAsia="黑体" w:hint="eastAsia"/>
          <w:b/>
          <w:spacing w:val="160"/>
          <w:sz w:val="44"/>
          <w:szCs w:val="44"/>
        </w:rPr>
        <w:t>案</w:t>
      </w:r>
    </w:p>
    <w:tbl>
      <w:tblPr>
        <w:tblW w:w="8820" w:type="dxa"/>
        <w:jc w:val="center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680"/>
        <w:gridCol w:w="1345"/>
        <w:gridCol w:w="614"/>
        <w:gridCol w:w="736"/>
        <w:gridCol w:w="1136"/>
        <w:gridCol w:w="664"/>
        <w:gridCol w:w="1260"/>
      </w:tblGrid>
      <w:tr w:rsidR="00F56204" w:rsidTr="00FD6E8A">
        <w:trPr>
          <w:trHeight w:val="456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授课日期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</w:tr>
      <w:tr w:rsidR="00F56204" w:rsidTr="00FD6E8A">
        <w:trPr>
          <w:trHeight w:val="465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授课课题</w:t>
            </w:r>
          </w:p>
        </w:tc>
        <w:tc>
          <w:tcPr>
            <w:tcW w:w="4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D4" w:rsidRPr="00500DB8" w:rsidRDefault="00F56204" w:rsidP="00A15ED4">
            <w:pPr>
              <w:adjustRightInd w:val="0"/>
              <w:snapToGrid w:val="0"/>
              <w:spacing w:line="330" w:lineRule="exact"/>
              <w:ind w:firstLineChars="49" w:firstLine="103"/>
              <w:jc w:val="center"/>
              <w:rPr>
                <w:rFonts w:ascii="宋体" w:hAnsi="宋体"/>
              </w:rPr>
            </w:pPr>
            <w:r w:rsidRPr="00500DB8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第</w:t>
            </w:r>
            <w:r w:rsidR="006A549F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7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章</w:t>
            </w:r>
            <w:r w:rsidR="00CB0A11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 xml:space="preserve"> </w:t>
            </w:r>
            <w:r w:rsidR="00CB0A11" w:rsidRPr="00CB0A11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实务过程：</w:t>
            </w:r>
            <w:r w:rsidR="006A549F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预估</w:t>
            </w:r>
          </w:p>
          <w:p w:rsidR="00F56204" w:rsidRPr="00500DB8" w:rsidRDefault="003157D4" w:rsidP="00F55D57">
            <w:pPr>
              <w:adjustRightInd w:val="0"/>
              <w:snapToGrid w:val="0"/>
              <w:spacing w:line="330" w:lineRule="exact"/>
              <w:ind w:firstLineChars="49" w:firstLine="10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预估的常用技术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授课时数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204" w:rsidRDefault="00187200" w:rsidP="00FD6E8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56204" w:rsidRPr="003A372A" w:rsidTr="00FD6E8A">
        <w:trPr>
          <w:trHeight w:val="928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教学目标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72A" w:rsidRPr="007E2B21" w:rsidRDefault="00F56204" w:rsidP="006A549F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本章</w:t>
            </w:r>
            <w:r w:rsidR="003A372A">
              <w:rPr>
                <w:rFonts w:ascii="宋体" w:hAnsi="宋体" w:hint="eastAsia"/>
                <w:szCs w:val="21"/>
              </w:rPr>
              <w:t>的教学目标</w:t>
            </w:r>
            <w:r w:rsidR="00681E30">
              <w:rPr>
                <w:rFonts w:ascii="宋体" w:hAnsi="宋体" w:hint="eastAsia"/>
                <w:szCs w:val="21"/>
              </w:rPr>
              <w:t>为</w:t>
            </w:r>
            <w:r w:rsidR="006A549F" w:rsidRPr="006A549F">
              <w:rPr>
                <w:rFonts w:ascii="宋体" w:hAnsi="宋体" w:hint="eastAsia"/>
                <w:szCs w:val="21"/>
              </w:rPr>
              <w:t>理解预估的基本概念，以及在预估阶段的基本任务。掌握对社会工作个案的具体诊断和分析技术，能够按照“问题-人-环境”的模式对个案进行分析。同时，能够应用相关的预估技术撰写预估分析报告，并与接案部分的收集资料相衔接。</w:t>
            </w:r>
          </w:p>
          <w:p w:rsidR="00F56204" w:rsidRPr="006A549F" w:rsidRDefault="003A372A" w:rsidP="00BB185E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本次课程的</w:t>
            </w:r>
            <w:r w:rsidR="00CC011A">
              <w:rPr>
                <w:rFonts w:ascii="宋体" w:hAnsi="宋体" w:hint="eastAsia"/>
                <w:szCs w:val="21"/>
              </w:rPr>
              <w:t>认知</w:t>
            </w:r>
            <w:r w:rsidR="00F05500">
              <w:rPr>
                <w:rFonts w:ascii="宋体" w:hAnsi="宋体" w:hint="eastAsia"/>
                <w:szCs w:val="21"/>
              </w:rPr>
              <w:t>教学目标</w:t>
            </w:r>
            <w:r>
              <w:rPr>
                <w:rFonts w:ascii="宋体" w:hAnsi="宋体" w:hint="eastAsia"/>
                <w:szCs w:val="21"/>
              </w:rPr>
              <w:t>为</w:t>
            </w:r>
            <w:r w:rsidR="006A549F">
              <w:rPr>
                <w:rFonts w:ascii="宋体" w:hAnsi="宋体" w:hint="eastAsia"/>
                <w:szCs w:val="21"/>
              </w:rPr>
              <w:t>掌握</w:t>
            </w:r>
            <w:r w:rsidR="00BB185E">
              <w:rPr>
                <w:rFonts w:ascii="宋体" w:hAnsi="宋体" w:hint="eastAsia"/>
                <w:szCs w:val="21"/>
              </w:rPr>
              <w:t>常用的预估技术</w:t>
            </w:r>
            <w:r w:rsidR="00187200">
              <w:rPr>
                <w:rFonts w:ascii="宋体" w:hAnsi="宋体" w:hint="eastAsia"/>
                <w:szCs w:val="21"/>
              </w:rPr>
              <w:t>；能力</w:t>
            </w:r>
            <w:r w:rsidR="00AB7861">
              <w:rPr>
                <w:rFonts w:ascii="宋体" w:hAnsi="宋体" w:hint="eastAsia"/>
                <w:szCs w:val="21"/>
              </w:rPr>
              <w:t>教学目标为</w:t>
            </w:r>
            <w:r w:rsidR="00BB185E">
              <w:rPr>
                <w:rFonts w:ascii="宋体" w:hAnsi="宋体" w:hint="eastAsia"/>
                <w:szCs w:val="21"/>
              </w:rPr>
              <w:t>能够在具体案例中应用预估技术进行分析</w:t>
            </w:r>
            <w:r w:rsidR="00AB7861">
              <w:rPr>
                <w:rFonts w:ascii="宋体" w:hAnsi="宋体" w:hint="eastAsia"/>
                <w:szCs w:val="21"/>
              </w:rPr>
              <w:t>；情操与价值</w:t>
            </w:r>
            <w:r w:rsidR="00AD4F85">
              <w:rPr>
                <w:rFonts w:ascii="宋体" w:hAnsi="宋体" w:hint="eastAsia"/>
                <w:szCs w:val="21"/>
              </w:rPr>
              <w:t>的</w:t>
            </w:r>
            <w:r w:rsidR="00CB0A11">
              <w:rPr>
                <w:rFonts w:ascii="宋体" w:hAnsi="宋体" w:hint="eastAsia"/>
                <w:szCs w:val="21"/>
              </w:rPr>
              <w:t>目标为</w:t>
            </w:r>
            <w:r w:rsidR="006A549F">
              <w:rPr>
                <w:rFonts w:ascii="宋体" w:hAnsi="宋体" w:hint="eastAsia"/>
                <w:szCs w:val="21"/>
              </w:rPr>
              <w:t>帮助学生</w:t>
            </w:r>
            <w:r w:rsidR="00BB185E">
              <w:rPr>
                <w:rFonts w:ascii="宋体" w:hAnsi="宋体" w:hint="eastAsia"/>
                <w:szCs w:val="21"/>
              </w:rPr>
              <w:t>拓展社会视角、强化其更理性地认识社会环境</w:t>
            </w:r>
            <w:r w:rsidR="006A549F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235EF5" w:rsidTr="00FD6E8A">
        <w:trPr>
          <w:trHeight w:val="614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791589" w:rsidRDefault="003A372A" w:rsidP="007915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教学重点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Default="00BB185E" w:rsidP="00FD6E8A">
            <w:pPr>
              <w:widowControl/>
            </w:pPr>
            <w:r>
              <w:rPr>
                <w:rFonts w:hint="eastAsia"/>
              </w:rPr>
              <w:t>家庭结构图和生态图的绘制</w:t>
            </w:r>
          </w:p>
        </w:tc>
      </w:tr>
      <w:tr w:rsidR="00235EF5" w:rsidRPr="003A372A" w:rsidTr="00FD6E8A">
        <w:trPr>
          <w:trHeight w:val="605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791589" w:rsidRDefault="003A372A" w:rsidP="007915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</w:t>
            </w:r>
            <w:r w:rsidR="00791589" w:rsidRPr="00791589">
              <w:rPr>
                <w:rFonts w:hint="eastAsia"/>
                <w:b/>
                <w:sz w:val="24"/>
              </w:rPr>
              <w:t>难点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Default="00BB185E" w:rsidP="00803D78">
            <w:pPr>
              <w:widowControl/>
              <w:jc w:val="left"/>
            </w:pPr>
            <w:r>
              <w:rPr>
                <w:rFonts w:hint="eastAsia"/>
              </w:rPr>
              <w:t>在生态图中如何</w:t>
            </w:r>
            <w:proofErr w:type="gramStart"/>
            <w:r>
              <w:rPr>
                <w:rFonts w:hint="eastAsia"/>
              </w:rPr>
              <w:t>分析案</w:t>
            </w:r>
            <w:proofErr w:type="gramEnd"/>
            <w:r>
              <w:rPr>
                <w:rFonts w:hint="eastAsia"/>
              </w:rPr>
              <w:t>主与其社会环境系统之间的关系</w:t>
            </w:r>
          </w:p>
        </w:tc>
      </w:tr>
      <w:tr w:rsidR="00235EF5" w:rsidTr="00FD6E8A">
        <w:trPr>
          <w:trHeight w:val="459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791589" w:rsidRDefault="00791589" w:rsidP="00791589">
            <w:pPr>
              <w:jc w:val="center"/>
              <w:rPr>
                <w:b/>
                <w:sz w:val="24"/>
              </w:rPr>
            </w:pPr>
            <w:r w:rsidRPr="00791589">
              <w:rPr>
                <w:rFonts w:hint="eastAsia"/>
                <w:b/>
                <w:sz w:val="24"/>
              </w:rPr>
              <w:t>教学方法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Default="00CB0A11" w:rsidP="00BB185E">
            <w:pPr>
              <w:widowControl/>
            </w:pPr>
            <w:r>
              <w:rPr>
                <w:rFonts w:cs="宋体" w:hint="eastAsia"/>
              </w:rPr>
              <w:t>案例分析、</w:t>
            </w:r>
            <w:r w:rsidR="00055378">
              <w:rPr>
                <w:rFonts w:cs="宋体" w:hint="eastAsia"/>
              </w:rPr>
              <w:t>讲授法、</w:t>
            </w:r>
            <w:r w:rsidR="00BB185E">
              <w:rPr>
                <w:rFonts w:cs="宋体" w:hint="eastAsia"/>
              </w:rPr>
              <w:t>讨论法、启发式教学</w:t>
            </w:r>
            <w:r w:rsidR="004927A0">
              <w:rPr>
                <w:rFonts w:cs="宋体" w:hint="eastAsia"/>
              </w:rPr>
              <w:t>等</w:t>
            </w:r>
            <w:r w:rsidR="008C6365">
              <w:rPr>
                <w:rFonts w:cs="宋体" w:hint="eastAsia"/>
              </w:rPr>
              <w:t>等。</w:t>
            </w:r>
          </w:p>
        </w:tc>
      </w:tr>
      <w:tr w:rsidR="00235EF5" w:rsidTr="00FD6E8A">
        <w:trPr>
          <w:trHeight w:val="748"/>
          <w:jc w:val="center"/>
        </w:trPr>
        <w:tc>
          <w:tcPr>
            <w:tcW w:w="8820" w:type="dxa"/>
            <w:gridSpan w:val="8"/>
            <w:tcBorders>
              <w:top w:val="single" w:sz="2" w:space="0" w:color="auto"/>
            </w:tcBorders>
            <w:vAlign w:val="center"/>
          </w:tcPr>
          <w:p w:rsidR="00235EF5" w:rsidRDefault="00235EF5" w:rsidP="000A0A37">
            <w:pPr>
              <w:jc w:val="center"/>
            </w:pPr>
            <w:r w:rsidRPr="00A37092">
              <w:rPr>
                <w:rFonts w:hint="eastAsia"/>
                <w:b/>
                <w:sz w:val="24"/>
              </w:rPr>
              <w:t>教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学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主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要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内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容</w:t>
            </w:r>
          </w:p>
        </w:tc>
      </w:tr>
      <w:tr w:rsidR="00235EF5" w:rsidTr="003A372A">
        <w:trPr>
          <w:trHeight w:val="2274"/>
          <w:jc w:val="center"/>
        </w:trPr>
        <w:tc>
          <w:tcPr>
            <w:tcW w:w="8820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35EF5" w:rsidRPr="00AB6000" w:rsidRDefault="00235EF5" w:rsidP="000A0A37">
            <w:pPr>
              <w:jc w:val="left"/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rFonts w:hint="eastAsia"/>
                <w:b/>
              </w:rPr>
              <w:t>●</w:t>
            </w:r>
            <w:r>
              <w:rPr>
                <w:b/>
              </w:rPr>
              <w:t xml:space="preserve"> </w:t>
            </w:r>
            <w:r w:rsidRPr="00AB6000">
              <w:rPr>
                <w:rFonts w:ascii="宋体" w:hAnsi="宋体" w:hint="eastAsia"/>
                <w:b/>
                <w:szCs w:val="21"/>
              </w:rPr>
              <w:t>课程导入</w:t>
            </w:r>
          </w:p>
          <w:p w:rsidR="005518B0" w:rsidRDefault="006A549F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课堂提问：</w:t>
            </w:r>
            <w:r w:rsidR="00BB185E">
              <w:rPr>
                <w:rFonts w:ascii="宋体" w:hAnsi="宋体" w:hint="eastAsia"/>
                <w:szCs w:val="21"/>
              </w:rPr>
              <w:t>案主环境系统的分析内容</w:t>
            </w:r>
            <w:r>
              <w:rPr>
                <w:rFonts w:ascii="宋体" w:hAnsi="宋体" w:hint="eastAsia"/>
                <w:szCs w:val="21"/>
              </w:rPr>
              <w:t>（2分钟）</w:t>
            </w:r>
          </w:p>
          <w:p w:rsidR="00CA02C7" w:rsidRDefault="00CA02C7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</w:p>
          <w:p w:rsidR="00CA02C7" w:rsidRDefault="00CA02C7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</w:p>
          <w:p w:rsidR="00CA02C7" w:rsidRPr="00565F7D" w:rsidRDefault="00CA02C7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</w:p>
          <w:p w:rsidR="00235EF5" w:rsidRPr="00235EF5" w:rsidRDefault="00235EF5" w:rsidP="00CA02C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●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666ABA">
              <w:rPr>
                <w:rFonts w:ascii="宋体" w:hAnsi="宋体" w:hint="eastAsia"/>
                <w:b/>
                <w:szCs w:val="21"/>
              </w:rPr>
              <w:t>教学过程</w:t>
            </w:r>
          </w:p>
        </w:tc>
      </w:tr>
      <w:tr w:rsidR="00235EF5" w:rsidTr="005518B0">
        <w:trPr>
          <w:trHeight w:val="618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5518B0" w:rsidRDefault="008C6365" w:rsidP="005518B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具体</w:t>
            </w:r>
            <w:r w:rsidR="00235EF5" w:rsidRPr="00AB6000">
              <w:rPr>
                <w:rFonts w:ascii="宋体" w:hAnsi="宋体" w:hint="eastAsia"/>
                <w:b/>
                <w:szCs w:val="21"/>
              </w:rPr>
              <w:t>的内容</w:t>
            </w:r>
            <w:r>
              <w:rPr>
                <w:rFonts w:ascii="宋体" w:hAnsi="宋体" w:hint="eastAsia"/>
                <w:b/>
                <w:szCs w:val="21"/>
              </w:rPr>
              <w:t>与安排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Pr="00086EB6" w:rsidRDefault="005518B0" w:rsidP="005518B0">
            <w:pPr>
              <w:spacing w:line="240" w:lineRule="atLeast"/>
              <w:ind w:right="-147"/>
              <w:jc w:val="center"/>
              <w:rPr>
                <w:b/>
              </w:rPr>
            </w:pPr>
            <w:r w:rsidRPr="00086EB6">
              <w:rPr>
                <w:rFonts w:hint="eastAsia"/>
                <w:b/>
              </w:rPr>
              <w:t>教学手段与</w:t>
            </w:r>
            <w:r w:rsidR="003A372A">
              <w:rPr>
                <w:rFonts w:hint="eastAsia"/>
                <w:b/>
              </w:rPr>
              <w:t>教学</w:t>
            </w:r>
            <w:r w:rsidR="00086EB6" w:rsidRPr="00086EB6">
              <w:rPr>
                <w:rFonts w:hint="eastAsia"/>
                <w:b/>
              </w:rPr>
              <w:t>目标</w:t>
            </w:r>
          </w:p>
        </w:tc>
      </w:tr>
      <w:tr w:rsidR="00235EF5" w:rsidTr="00001C38">
        <w:trPr>
          <w:trHeight w:val="2495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38" w:rsidRDefault="00BB185E" w:rsidP="00001C38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课程回顾：案主环境系统的分析内容</w:t>
            </w:r>
            <w:r w:rsidR="006A549F">
              <w:rPr>
                <w:rFonts w:ascii="宋体" w:hint="eastAsia"/>
                <w:szCs w:val="21"/>
              </w:rPr>
              <w:t>（3分钟）</w:t>
            </w:r>
          </w:p>
          <w:p w:rsidR="00001C38" w:rsidRDefault="00001C38" w:rsidP="00001C38">
            <w:pPr>
              <w:rPr>
                <w:rFonts w:ascii="宋体"/>
                <w:szCs w:val="21"/>
              </w:rPr>
            </w:pPr>
          </w:p>
          <w:p w:rsidR="006A549F" w:rsidRDefault="006A549F" w:rsidP="00001C38">
            <w:pPr>
              <w:rPr>
                <w:rFonts w:ascii="宋体"/>
                <w:szCs w:val="21"/>
              </w:rPr>
            </w:pPr>
          </w:p>
          <w:p w:rsidR="006A549F" w:rsidRDefault="006A549F" w:rsidP="00001C38">
            <w:pPr>
              <w:rPr>
                <w:rFonts w:ascii="宋体"/>
                <w:szCs w:val="21"/>
              </w:rPr>
            </w:pPr>
          </w:p>
          <w:p w:rsidR="006A549F" w:rsidRDefault="006A549F" w:rsidP="00001C38">
            <w:pPr>
              <w:rPr>
                <w:rFonts w:ascii="宋体"/>
                <w:szCs w:val="21"/>
              </w:rPr>
            </w:pPr>
          </w:p>
          <w:p w:rsidR="006A549F" w:rsidRDefault="00BB185E" w:rsidP="00BB185E">
            <w:pPr>
              <w:pStyle w:val="a3"/>
              <w:numPr>
                <w:ilvl w:val="0"/>
                <w:numId w:val="12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家庭结构图（</w:t>
            </w:r>
            <w:r w:rsidR="00797BFB">
              <w:rPr>
                <w:rFonts w:ascii="宋体" w:hint="eastAsia"/>
                <w:szCs w:val="21"/>
              </w:rPr>
              <w:t>10</w:t>
            </w:r>
            <w:r>
              <w:rPr>
                <w:rFonts w:ascii="宋体" w:hint="eastAsia"/>
                <w:szCs w:val="21"/>
              </w:rPr>
              <w:t>分钟）</w:t>
            </w:r>
            <w:r w:rsidR="00797BFB">
              <w:rPr>
                <w:rFonts w:ascii="宋体"/>
                <w:szCs w:val="21"/>
              </w:rPr>
              <w:br/>
            </w:r>
            <w:r w:rsidR="00797BFB">
              <w:rPr>
                <w:rFonts w:ascii="宋体" w:hint="eastAsia"/>
                <w:szCs w:val="21"/>
              </w:rPr>
              <w:br/>
            </w:r>
            <w:r w:rsidR="00797BFB">
              <w:rPr>
                <w:rFonts w:ascii="宋体"/>
                <w:szCs w:val="21"/>
              </w:rPr>
              <w:br/>
            </w:r>
            <w:r w:rsidR="00797BFB">
              <w:rPr>
                <w:rFonts w:ascii="宋体" w:hint="eastAsia"/>
                <w:szCs w:val="21"/>
              </w:rPr>
              <w:br/>
            </w:r>
          </w:p>
          <w:p w:rsidR="00797BFB" w:rsidRDefault="00797BFB" w:rsidP="00BB185E">
            <w:pPr>
              <w:pStyle w:val="a3"/>
              <w:numPr>
                <w:ilvl w:val="0"/>
                <w:numId w:val="12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生态图（10分钟）</w:t>
            </w:r>
            <w:r>
              <w:rPr>
                <w:rFonts w:ascii="宋体"/>
                <w:szCs w:val="21"/>
              </w:rPr>
              <w:br/>
            </w:r>
            <w:r>
              <w:rPr>
                <w:rFonts w:ascii="宋体" w:hint="eastAsia"/>
                <w:szCs w:val="21"/>
              </w:rPr>
              <w:br/>
            </w:r>
            <w:r>
              <w:rPr>
                <w:rFonts w:ascii="宋体" w:hint="eastAsia"/>
                <w:szCs w:val="21"/>
              </w:rPr>
              <w:br/>
            </w:r>
            <w:r>
              <w:rPr>
                <w:rFonts w:ascii="宋体" w:hint="eastAsia"/>
                <w:szCs w:val="21"/>
              </w:rPr>
              <w:br/>
            </w:r>
            <w:r>
              <w:rPr>
                <w:rFonts w:ascii="宋体"/>
                <w:szCs w:val="21"/>
              </w:rPr>
              <w:lastRenderedPageBreak/>
              <w:br/>
            </w:r>
          </w:p>
          <w:p w:rsidR="00797BFB" w:rsidRDefault="00797BFB" w:rsidP="00BB185E">
            <w:pPr>
              <w:pStyle w:val="a3"/>
              <w:numPr>
                <w:ilvl w:val="0"/>
                <w:numId w:val="12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社会网络表（5分钟）</w:t>
            </w:r>
            <w:r w:rsidR="00B044CB">
              <w:rPr>
                <w:rFonts w:ascii="宋体"/>
                <w:szCs w:val="21"/>
              </w:rPr>
              <w:br/>
            </w:r>
            <w:r w:rsidR="00B044CB">
              <w:rPr>
                <w:rFonts w:ascii="宋体" w:hint="eastAsia"/>
                <w:szCs w:val="21"/>
              </w:rPr>
              <w:br/>
            </w:r>
            <w:r w:rsidR="00B044CB">
              <w:rPr>
                <w:rFonts w:ascii="宋体" w:hint="eastAsia"/>
                <w:szCs w:val="21"/>
              </w:rPr>
              <w:br/>
            </w:r>
            <w:r w:rsidR="00B044CB">
              <w:rPr>
                <w:rFonts w:ascii="宋体"/>
                <w:szCs w:val="21"/>
              </w:rPr>
              <w:br/>
            </w:r>
          </w:p>
          <w:p w:rsidR="00B044CB" w:rsidRPr="00BB185E" w:rsidRDefault="00B044CB" w:rsidP="00BB185E">
            <w:pPr>
              <w:pStyle w:val="a3"/>
              <w:numPr>
                <w:ilvl w:val="0"/>
                <w:numId w:val="12"/>
              </w:numPr>
              <w:ind w:firstLineChars="0"/>
              <w:rPr>
                <w:rFonts w:ascii="宋体"/>
                <w:szCs w:val="21"/>
              </w:rPr>
            </w:pPr>
            <w:r w:rsidRPr="00B044CB">
              <w:rPr>
                <w:rFonts w:ascii="宋体" w:hint="eastAsia"/>
                <w:szCs w:val="21"/>
              </w:rPr>
              <w:t>预估的总结技术：预估报告</w:t>
            </w:r>
            <w:r>
              <w:rPr>
                <w:rFonts w:ascii="宋体" w:hint="eastAsia"/>
                <w:szCs w:val="21"/>
              </w:rPr>
              <w:t>（5分钟）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9F" w:rsidRPr="00791589" w:rsidRDefault="006A549F" w:rsidP="006A549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课程回顾</w:t>
            </w:r>
            <w:r w:rsidR="004927A0">
              <w:rPr>
                <w:rFonts w:ascii="宋体" w:hAnsi="宋体" w:hint="eastAsia"/>
                <w:szCs w:val="21"/>
              </w:rPr>
              <w:t>：</w:t>
            </w:r>
            <w:r w:rsidR="00BB185E">
              <w:rPr>
                <w:rFonts w:ascii="宋体" w:hAnsi="宋体" w:hint="eastAsia"/>
                <w:szCs w:val="21"/>
              </w:rPr>
              <w:t>通过回顾上一节课所讲</w:t>
            </w:r>
            <w:r w:rsidR="00BB185E">
              <w:rPr>
                <w:rFonts w:ascii="宋体" w:hint="eastAsia"/>
                <w:szCs w:val="21"/>
              </w:rPr>
              <w:t>案主环境系统的分析内容，帮助学生对</w:t>
            </w:r>
            <w:proofErr w:type="gramStart"/>
            <w:r w:rsidR="00BB185E">
              <w:rPr>
                <w:rFonts w:ascii="宋体" w:hint="eastAsia"/>
                <w:szCs w:val="21"/>
              </w:rPr>
              <w:t>前课知识</w:t>
            </w:r>
            <w:proofErr w:type="gramEnd"/>
            <w:r w:rsidR="00BB185E">
              <w:rPr>
                <w:rFonts w:ascii="宋体" w:hint="eastAsia"/>
                <w:szCs w:val="21"/>
              </w:rPr>
              <w:t>进行巩固，同时引伸出本节课所要讲解主要</w:t>
            </w:r>
            <w:proofErr w:type="gramStart"/>
            <w:r w:rsidR="00BB185E">
              <w:rPr>
                <w:rFonts w:ascii="宋体" w:hint="eastAsia"/>
                <w:szCs w:val="21"/>
              </w:rPr>
              <w:t>针对案</w:t>
            </w:r>
            <w:proofErr w:type="gramEnd"/>
            <w:r w:rsidR="00BB185E">
              <w:rPr>
                <w:rFonts w:ascii="宋体" w:hint="eastAsia"/>
                <w:szCs w:val="21"/>
              </w:rPr>
              <w:t>主及其环境系统的预估分析所采用的各种技术。</w:t>
            </w:r>
          </w:p>
          <w:p w:rsidR="008116DE" w:rsidRDefault="008116DE" w:rsidP="00B60BD2">
            <w:pPr>
              <w:jc w:val="left"/>
              <w:rPr>
                <w:rFonts w:ascii="宋体" w:hAnsi="宋体"/>
                <w:szCs w:val="21"/>
              </w:rPr>
            </w:pPr>
          </w:p>
          <w:p w:rsidR="006A549F" w:rsidRDefault="00797BFB" w:rsidP="00BB185E">
            <w:pPr>
              <w:pStyle w:val="a3"/>
              <w:numPr>
                <w:ilvl w:val="0"/>
                <w:numId w:val="13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基于之前的课程导入，</w:t>
            </w:r>
            <w:r w:rsidR="00BB185E">
              <w:rPr>
                <w:rFonts w:ascii="宋体" w:hAnsi="宋体" w:hint="eastAsia"/>
                <w:szCs w:val="21"/>
              </w:rPr>
              <w:t>通过图文并茂的方式讲解</w:t>
            </w:r>
            <w:r>
              <w:rPr>
                <w:rFonts w:ascii="宋体" w:hAnsi="宋体" w:hint="eastAsia"/>
                <w:szCs w:val="21"/>
              </w:rPr>
              <w:t>最基本的一种预估技术：家庭结构图。同时以实际案例为载体，引导学生掌握如何正确绘制家庭结构图。</w:t>
            </w:r>
            <w:r>
              <w:rPr>
                <w:rFonts w:ascii="宋体" w:hAnsi="宋体"/>
                <w:szCs w:val="21"/>
              </w:rPr>
              <w:br/>
            </w:r>
          </w:p>
          <w:p w:rsidR="00797BFB" w:rsidRDefault="00797BFB" w:rsidP="00BB185E">
            <w:pPr>
              <w:pStyle w:val="a3"/>
              <w:numPr>
                <w:ilvl w:val="0"/>
                <w:numId w:val="13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在家庭结构图的基础上，讲解生态图的绘制方法，并引导学生进一步拓展思维、掌握</w:t>
            </w:r>
            <w:proofErr w:type="gramStart"/>
            <w:r>
              <w:rPr>
                <w:rFonts w:ascii="宋体" w:hAnsi="宋体" w:hint="eastAsia"/>
                <w:szCs w:val="21"/>
              </w:rPr>
              <w:t>分析案</w:t>
            </w:r>
            <w:proofErr w:type="gramEnd"/>
            <w:r>
              <w:rPr>
                <w:rFonts w:ascii="宋体" w:hAnsi="宋体" w:hint="eastAsia"/>
                <w:szCs w:val="21"/>
              </w:rPr>
              <w:t>主与其社会环境系统关系的技巧。同时，通过案例演练，也帮助学生能</w:t>
            </w:r>
            <w:r>
              <w:rPr>
                <w:rFonts w:ascii="宋体" w:hAnsi="宋体" w:hint="eastAsia"/>
                <w:szCs w:val="21"/>
              </w:rPr>
              <w:lastRenderedPageBreak/>
              <w:t>更理性地认识社会环境。</w:t>
            </w:r>
            <w:r>
              <w:rPr>
                <w:rFonts w:ascii="宋体" w:hAnsi="宋体"/>
                <w:szCs w:val="21"/>
              </w:rPr>
              <w:br/>
            </w:r>
          </w:p>
          <w:p w:rsidR="00797BFB" w:rsidRDefault="00797BFB" w:rsidP="00797BFB">
            <w:pPr>
              <w:pStyle w:val="a3"/>
              <w:numPr>
                <w:ilvl w:val="0"/>
                <w:numId w:val="13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在</w:t>
            </w:r>
            <w:r>
              <w:rPr>
                <w:rFonts w:ascii="宋体" w:hAnsi="宋体" w:hint="eastAsia"/>
                <w:szCs w:val="21"/>
              </w:rPr>
              <w:t>学习了生态图的基础上，</w:t>
            </w:r>
            <w:r w:rsidR="00B044CB">
              <w:rPr>
                <w:rFonts w:ascii="宋体" w:hAnsi="宋体" w:hint="eastAsia"/>
                <w:szCs w:val="21"/>
              </w:rPr>
              <w:t>帮助学生学习</w:t>
            </w:r>
            <w:r>
              <w:rPr>
                <w:rFonts w:ascii="宋体" w:hAnsi="宋体" w:hint="eastAsia"/>
                <w:szCs w:val="21"/>
              </w:rPr>
              <w:t>以表格形式描述案主与其</w:t>
            </w:r>
            <w:r w:rsidR="00B044CB">
              <w:rPr>
                <w:rFonts w:ascii="宋体" w:hAnsi="宋体" w:hint="eastAsia"/>
                <w:szCs w:val="21"/>
              </w:rPr>
              <w:t>社会关系之间亲疏程度的技术。同时简单讲解“评量技术”的概念，为之后课程作铺垫。</w:t>
            </w:r>
            <w:r w:rsidR="00B044CB">
              <w:rPr>
                <w:rFonts w:ascii="宋体" w:hAnsi="宋体"/>
                <w:szCs w:val="21"/>
              </w:rPr>
              <w:br/>
            </w:r>
          </w:p>
          <w:p w:rsidR="00B044CB" w:rsidRDefault="00B044CB" w:rsidP="00797BFB">
            <w:pPr>
              <w:pStyle w:val="a3"/>
              <w:numPr>
                <w:ilvl w:val="0"/>
                <w:numId w:val="13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在学习了本章节大部分内容的基础上，讲解预估的总结技术：预估报告的概念和书写方法。也对本章课程作一个收尾。</w:t>
            </w:r>
          </w:p>
          <w:p w:rsidR="00B044CB" w:rsidRPr="00B044CB" w:rsidRDefault="00B044CB" w:rsidP="00B044CB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35EF5" w:rsidTr="005518B0">
        <w:trPr>
          <w:trHeight w:val="2965"/>
          <w:jc w:val="center"/>
        </w:trPr>
        <w:tc>
          <w:tcPr>
            <w:tcW w:w="8820" w:type="dxa"/>
            <w:gridSpan w:val="8"/>
            <w:tcBorders>
              <w:top w:val="single" w:sz="4" w:space="0" w:color="auto"/>
            </w:tcBorders>
            <w:vAlign w:val="center"/>
          </w:tcPr>
          <w:p w:rsidR="00235EF5" w:rsidRDefault="00235EF5" w:rsidP="00235EF5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●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b/>
              </w:rPr>
              <w:t>课堂小结</w:t>
            </w:r>
          </w:p>
          <w:p w:rsidR="00235EF5" w:rsidRDefault="00235EF5" w:rsidP="00235EF5">
            <w:pPr>
              <w:spacing w:line="240" w:lineRule="atLeast"/>
              <w:ind w:right="-147" w:firstLineChars="150" w:firstLine="315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、讲课小结</w:t>
            </w:r>
          </w:p>
          <w:p w:rsidR="00235EF5" w:rsidRPr="00235EF5" w:rsidRDefault="00DF4CCD" w:rsidP="00235EF5">
            <w:pPr>
              <w:spacing w:line="240" w:lineRule="atLeast"/>
              <w:ind w:right="-147" w:firstLineChars="150" w:firstLine="31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本次教学主要介绍了</w:t>
            </w:r>
            <w:r w:rsidR="00B044CB">
              <w:rPr>
                <w:rFonts w:ascii="宋体" w:hint="eastAsia"/>
                <w:szCs w:val="21"/>
              </w:rPr>
              <w:t>预估的常用技术，包括家庭结构图、生态图、社会网络表、预估报告等等，并且分别进行的举例说明或案例实际演练</w:t>
            </w:r>
            <w:r w:rsidR="00235EF5">
              <w:rPr>
                <w:rFonts w:ascii="宋体" w:hint="eastAsia"/>
                <w:szCs w:val="21"/>
              </w:rPr>
              <w:t>（</w:t>
            </w:r>
            <w:r w:rsidR="00B044CB">
              <w:rPr>
                <w:rFonts w:ascii="宋体" w:hint="eastAsia"/>
                <w:szCs w:val="21"/>
              </w:rPr>
              <w:t>3</w:t>
            </w:r>
            <w:r w:rsidR="00235EF5">
              <w:rPr>
                <w:rFonts w:ascii="宋体" w:hint="eastAsia"/>
                <w:szCs w:val="21"/>
              </w:rPr>
              <w:t>分钟）；</w:t>
            </w:r>
          </w:p>
          <w:p w:rsidR="00235EF5" w:rsidRDefault="00235EF5" w:rsidP="00553088">
            <w:pPr>
              <w:spacing w:line="240" w:lineRule="atLeast"/>
              <w:ind w:right="-147"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8C6365">
              <w:rPr>
                <w:rFonts w:ascii="宋体" w:hAnsi="宋体" w:hint="eastAsia"/>
                <w:szCs w:val="21"/>
              </w:rPr>
              <w:t>、回家作业：</w:t>
            </w:r>
            <w:r w:rsidR="00B044CB" w:rsidRPr="00B044CB">
              <w:rPr>
                <w:rFonts w:ascii="宋体" w:hint="eastAsia"/>
                <w:szCs w:val="21"/>
              </w:rPr>
              <w:t>基于本章节所学，根据相关案例完成一整套的预估过程</w:t>
            </w:r>
            <w:r w:rsidR="00B044CB">
              <w:rPr>
                <w:rFonts w:ascii="宋体" w:hint="eastAsia"/>
                <w:szCs w:val="21"/>
              </w:rPr>
              <w:t>（2分钟）</w:t>
            </w:r>
            <w:r w:rsidR="008116DE">
              <w:rPr>
                <w:rFonts w:ascii="宋体" w:hAnsi="宋体" w:hint="eastAsia"/>
                <w:szCs w:val="21"/>
              </w:rPr>
              <w:t>；</w:t>
            </w:r>
          </w:p>
          <w:p w:rsidR="008116DE" w:rsidRPr="00235EF5" w:rsidRDefault="008116DE" w:rsidP="00B044CB">
            <w:pPr>
              <w:spacing w:line="240" w:lineRule="atLeast"/>
              <w:ind w:right="-147"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B60BD2">
              <w:rPr>
                <w:rFonts w:ascii="宋体" w:hAnsi="宋体" w:hint="eastAsia"/>
                <w:szCs w:val="21"/>
              </w:rPr>
              <w:t>、课程预习：</w:t>
            </w:r>
            <w:r w:rsidR="00B044CB">
              <w:rPr>
                <w:rFonts w:ascii="宋体" w:hAnsi="宋体" w:hint="eastAsia"/>
                <w:szCs w:val="21"/>
              </w:rPr>
              <w:t>实务过程：</w:t>
            </w:r>
            <w:r w:rsidR="00B044CB">
              <w:rPr>
                <w:rFonts w:ascii="宋体" w:hint="eastAsia"/>
                <w:szCs w:val="21"/>
              </w:rPr>
              <w:t>计划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235EF5" w:rsidTr="00FD6E8A">
        <w:trPr>
          <w:trHeight w:val="2033"/>
          <w:jc w:val="center"/>
        </w:trPr>
        <w:tc>
          <w:tcPr>
            <w:tcW w:w="138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5EF5" w:rsidRDefault="00235EF5" w:rsidP="00FD6E8A">
            <w:pPr>
              <w:jc w:val="center"/>
            </w:pPr>
            <w:r>
              <w:rPr>
                <w:rFonts w:hint="eastAsia"/>
              </w:rPr>
              <w:t>课后小结</w:t>
            </w:r>
          </w:p>
        </w:tc>
        <w:tc>
          <w:tcPr>
            <w:tcW w:w="743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bottom"/>
          </w:tcPr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16" w:firstLine="2774"/>
              <w:rPr>
                <w:b/>
              </w:rPr>
            </w:pPr>
          </w:p>
        </w:tc>
      </w:tr>
    </w:tbl>
    <w:p w:rsidR="00F56204" w:rsidRDefault="00F56204" w:rsidP="00F56204"/>
    <w:p w:rsidR="00083BD5" w:rsidRDefault="00083BD5" w:rsidP="00F56204"/>
    <w:sectPr w:rsidR="00083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4F5" w:rsidRDefault="00A024F5" w:rsidP="00BA6861">
      <w:r>
        <w:separator/>
      </w:r>
    </w:p>
  </w:endnote>
  <w:endnote w:type="continuationSeparator" w:id="0">
    <w:p w:rsidR="00A024F5" w:rsidRDefault="00A024F5" w:rsidP="00BA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4F5" w:rsidRDefault="00A024F5" w:rsidP="00BA6861">
      <w:r>
        <w:separator/>
      </w:r>
    </w:p>
  </w:footnote>
  <w:footnote w:type="continuationSeparator" w:id="0">
    <w:p w:rsidR="00A024F5" w:rsidRDefault="00A024F5" w:rsidP="00BA6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302"/>
    <w:multiLevelType w:val="multilevel"/>
    <w:tmpl w:val="C3C02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55316B"/>
    <w:multiLevelType w:val="hybridMultilevel"/>
    <w:tmpl w:val="074AF800"/>
    <w:lvl w:ilvl="0" w:tplc="C6B23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245A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2C68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2AA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E40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96FC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5E3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127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C4F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00DE8"/>
    <w:multiLevelType w:val="hybridMultilevel"/>
    <w:tmpl w:val="5282BC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9568A2"/>
    <w:multiLevelType w:val="hybridMultilevel"/>
    <w:tmpl w:val="4BA67D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8CA4045"/>
    <w:multiLevelType w:val="hybridMultilevel"/>
    <w:tmpl w:val="F4D426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D6A1FFF"/>
    <w:multiLevelType w:val="hybridMultilevel"/>
    <w:tmpl w:val="850489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DB4FBC"/>
    <w:multiLevelType w:val="hybridMultilevel"/>
    <w:tmpl w:val="D4E634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E87FDD"/>
    <w:multiLevelType w:val="hybridMultilevel"/>
    <w:tmpl w:val="4BA67D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E9C436A"/>
    <w:multiLevelType w:val="multilevel"/>
    <w:tmpl w:val="EDDA7B88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3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9">
    <w:nsid w:val="2EC575EC"/>
    <w:multiLevelType w:val="multilevel"/>
    <w:tmpl w:val="122C94F4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BFC78BA"/>
    <w:multiLevelType w:val="hybridMultilevel"/>
    <w:tmpl w:val="AE84A2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F1D6D8B"/>
    <w:multiLevelType w:val="hybridMultilevel"/>
    <w:tmpl w:val="5BA09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55B7BD5"/>
    <w:multiLevelType w:val="hybridMultilevel"/>
    <w:tmpl w:val="C77EB3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10"/>
  </w:num>
  <w:num w:numId="6">
    <w:abstractNumId w:val="1"/>
  </w:num>
  <w:num w:numId="7">
    <w:abstractNumId w:val="6"/>
  </w:num>
  <w:num w:numId="8">
    <w:abstractNumId w:val="11"/>
  </w:num>
  <w:num w:numId="9">
    <w:abstractNumId w:val="5"/>
  </w:num>
  <w:num w:numId="10">
    <w:abstractNumId w:val="4"/>
  </w:num>
  <w:num w:numId="11">
    <w:abstractNumId w:val="1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4"/>
    <w:rsid w:val="00001C38"/>
    <w:rsid w:val="00055378"/>
    <w:rsid w:val="0007518B"/>
    <w:rsid w:val="00083BD5"/>
    <w:rsid w:val="00086EB6"/>
    <w:rsid w:val="00187200"/>
    <w:rsid w:val="00235EF5"/>
    <w:rsid w:val="0025693D"/>
    <w:rsid w:val="002733D4"/>
    <w:rsid w:val="002B1FEF"/>
    <w:rsid w:val="002D4AB3"/>
    <w:rsid w:val="00310A0C"/>
    <w:rsid w:val="003157D4"/>
    <w:rsid w:val="00330585"/>
    <w:rsid w:val="003A372A"/>
    <w:rsid w:val="003A66A3"/>
    <w:rsid w:val="003C0E29"/>
    <w:rsid w:val="003F62C2"/>
    <w:rsid w:val="004772E0"/>
    <w:rsid w:val="004927A0"/>
    <w:rsid w:val="004E0D6E"/>
    <w:rsid w:val="005518B0"/>
    <w:rsid w:val="00553088"/>
    <w:rsid w:val="00565F7D"/>
    <w:rsid w:val="00626034"/>
    <w:rsid w:val="0064069D"/>
    <w:rsid w:val="00666ABA"/>
    <w:rsid w:val="00681E30"/>
    <w:rsid w:val="006A549F"/>
    <w:rsid w:val="006C2FC7"/>
    <w:rsid w:val="006D1D82"/>
    <w:rsid w:val="007126DA"/>
    <w:rsid w:val="00726EF2"/>
    <w:rsid w:val="007657B4"/>
    <w:rsid w:val="00791589"/>
    <w:rsid w:val="00797BFB"/>
    <w:rsid w:val="007E2B21"/>
    <w:rsid w:val="007E6516"/>
    <w:rsid w:val="00803D78"/>
    <w:rsid w:val="008116DE"/>
    <w:rsid w:val="00836D47"/>
    <w:rsid w:val="00894AA2"/>
    <w:rsid w:val="008C6365"/>
    <w:rsid w:val="008D2FE4"/>
    <w:rsid w:val="009C26F0"/>
    <w:rsid w:val="00A024F5"/>
    <w:rsid w:val="00A12C70"/>
    <w:rsid w:val="00A15ED4"/>
    <w:rsid w:val="00AB13F2"/>
    <w:rsid w:val="00AB7861"/>
    <w:rsid w:val="00AD4F85"/>
    <w:rsid w:val="00AF4D32"/>
    <w:rsid w:val="00B044CB"/>
    <w:rsid w:val="00B3244E"/>
    <w:rsid w:val="00B34BDF"/>
    <w:rsid w:val="00B60BD2"/>
    <w:rsid w:val="00B96773"/>
    <w:rsid w:val="00BA6861"/>
    <w:rsid w:val="00BB185E"/>
    <w:rsid w:val="00BB46EE"/>
    <w:rsid w:val="00BC6C05"/>
    <w:rsid w:val="00BD530F"/>
    <w:rsid w:val="00C2316E"/>
    <w:rsid w:val="00CA02C7"/>
    <w:rsid w:val="00CA7B64"/>
    <w:rsid w:val="00CB0A11"/>
    <w:rsid w:val="00CC011A"/>
    <w:rsid w:val="00DA21DC"/>
    <w:rsid w:val="00DA2429"/>
    <w:rsid w:val="00DE1178"/>
    <w:rsid w:val="00DF4CCD"/>
    <w:rsid w:val="00EB75AC"/>
    <w:rsid w:val="00F05500"/>
    <w:rsid w:val="00F1527C"/>
    <w:rsid w:val="00F155BE"/>
    <w:rsid w:val="00F3093F"/>
    <w:rsid w:val="00F352A1"/>
    <w:rsid w:val="00F44FE4"/>
    <w:rsid w:val="00F53ECB"/>
    <w:rsid w:val="00F55D57"/>
    <w:rsid w:val="00F56204"/>
    <w:rsid w:val="00F97841"/>
    <w:rsid w:val="00FA452C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F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A6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6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927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F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A6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6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927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17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8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9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8CB05-D2D6-4355-8D29-C38EC2E0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152</Words>
  <Characters>869</Characters>
  <Application>Microsoft Office Word</Application>
  <DocSecurity>0</DocSecurity>
  <Lines>7</Lines>
  <Paragraphs>2</Paragraphs>
  <ScaleCrop>false</ScaleCrop>
  <Company>Lenovo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Crystal Chin</dc:creator>
  <cp:lastModifiedBy>Windows 用户</cp:lastModifiedBy>
  <cp:revision>7</cp:revision>
  <cp:lastPrinted>2018-04-17T04:33:00Z</cp:lastPrinted>
  <dcterms:created xsi:type="dcterms:W3CDTF">2018-05-05T16:19:00Z</dcterms:created>
  <dcterms:modified xsi:type="dcterms:W3CDTF">2018-05-05T18:50:00Z</dcterms:modified>
</cp:coreProperties>
</file>