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04" w:rsidRPr="003F05E2" w:rsidRDefault="00F56204" w:rsidP="00F56204">
      <w:pPr>
        <w:spacing w:line="360" w:lineRule="atLeast"/>
        <w:jc w:val="center"/>
        <w:rPr>
          <w:rFonts w:eastAsia="黑体"/>
          <w:b/>
          <w:spacing w:val="160"/>
          <w:sz w:val="44"/>
          <w:szCs w:val="44"/>
        </w:rPr>
      </w:pPr>
      <w:r>
        <w:rPr>
          <w:rFonts w:eastAsia="黑体" w:hint="eastAsia"/>
          <w:b/>
          <w:spacing w:val="160"/>
          <w:sz w:val="44"/>
          <w:szCs w:val="44"/>
        </w:rPr>
        <w:t>教师授课教</w:t>
      </w:r>
      <w:r w:rsidRPr="003F05E2">
        <w:rPr>
          <w:rFonts w:eastAsia="黑体" w:hint="eastAsia"/>
          <w:b/>
          <w:spacing w:val="160"/>
          <w:sz w:val="44"/>
          <w:szCs w:val="44"/>
        </w:rPr>
        <w:t>案</w:t>
      </w:r>
    </w:p>
    <w:tbl>
      <w:tblPr>
        <w:tblW w:w="8820" w:type="dxa"/>
        <w:jc w:val="center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680"/>
        <w:gridCol w:w="1345"/>
        <w:gridCol w:w="614"/>
        <w:gridCol w:w="736"/>
        <w:gridCol w:w="1136"/>
        <w:gridCol w:w="664"/>
        <w:gridCol w:w="1260"/>
      </w:tblGrid>
      <w:tr w:rsidR="00F56204" w:rsidTr="00FD6E8A">
        <w:trPr>
          <w:trHeight w:val="456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授课日期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</w:tr>
      <w:tr w:rsidR="00F56204" w:rsidTr="00FD6E8A">
        <w:trPr>
          <w:trHeight w:val="465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授课课题</w:t>
            </w:r>
          </w:p>
        </w:tc>
        <w:tc>
          <w:tcPr>
            <w:tcW w:w="4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2A" w:rsidRDefault="00F56204" w:rsidP="00F55D57">
            <w:pPr>
              <w:adjustRightInd w:val="0"/>
              <w:snapToGrid w:val="0"/>
              <w:spacing w:line="330" w:lineRule="exact"/>
              <w:ind w:firstLineChars="49" w:firstLine="103"/>
              <w:jc w:val="center"/>
              <w:rPr>
                <w:rFonts w:ascii="宋体" w:hAnsi="宋体"/>
                <w:szCs w:val="21"/>
              </w:rPr>
            </w:pPr>
            <w:r w:rsidRPr="00500DB8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第</w:t>
            </w:r>
            <w:r w:rsidR="00187200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章</w:t>
            </w:r>
            <w:r w:rsidRPr="00500DB8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 xml:space="preserve"> </w:t>
            </w:r>
            <w:r w:rsidR="00187200">
              <w:rPr>
                <w:rFonts w:ascii="宋体" w:hAnsi="宋体" w:hint="eastAsia"/>
                <w:szCs w:val="21"/>
              </w:rPr>
              <w:t>社会工作</w:t>
            </w:r>
            <w:r w:rsidR="00053B0B">
              <w:rPr>
                <w:rFonts w:ascii="宋体" w:hAnsi="宋体" w:hint="eastAsia"/>
                <w:szCs w:val="21"/>
              </w:rPr>
              <w:t>的</w:t>
            </w:r>
            <w:bookmarkStart w:id="0" w:name="_GoBack"/>
            <w:bookmarkEnd w:id="0"/>
            <w:r w:rsidR="00187200">
              <w:rPr>
                <w:rFonts w:ascii="宋体" w:hAnsi="宋体" w:hint="eastAsia"/>
                <w:szCs w:val="21"/>
              </w:rPr>
              <w:t>价值观与伦理</w:t>
            </w:r>
          </w:p>
          <w:p w:rsidR="00F56204" w:rsidRPr="00500DB8" w:rsidRDefault="001A5F83" w:rsidP="00F55D57">
            <w:pPr>
              <w:adjustRightInd w:val="0"/>
              <w:snapToGrid w:val="0"/>
              <w:spacing w:line="330" w:lineRule="exact"/>
              <w:ind w:firstLineChars="49" w:firstLine="10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社会工作的专业伦理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授课时数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204" w:rsidRDefault="00187200" w:rsidP="00FD6E8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56204" w:rsidRPr="003A372A" w:rsidTr="00FD6E8A">
        <w:trPr>
          <w:trHeight w:val="928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教学目标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72A" w:rsidRDefault="00F56204" w:rsidP="003A372A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本章</w:t>
            </w:r>
            <w:r w:rsidR="003A372A">
              <w:rPr>
                <w:rFonts w:ascii="宋体" w:hAnsi="宋体" w:hint="eastAsia"/>
                <w:szCs w:val="21"/>
              </w:rPr>
              <w:t>的教学目标</w:t>
            </w:r>
            <w:r w:rsidR="00187200">
              <w:rPr>
                <w:rFonts w:ascii="宋体" w:hAnsi="宋体" w:hint="eastAsia"/>
                <w:szCs w:val="21"/>
              </w:rPr>
              <w:t>为</w:t>
            </w:r>
            <w:r w:rsidR="00187200" w:rsidRPr="00187200">
              <w:rPr>
                <w:rFonts w:ascii="宋体" w:hAnsi="宋体" w:hint="eastAsia"/>
                <w:szCs w:val="21"/>
              </w:rPr>
              <w:t>理解价值观和伦理道德的含义，以及社会工作伦理与价值观的</w:t>
            </w:r>
            <w:r w:rsidR="00951CA8">
              <w:rPr>
                <w:rFonts w:ascii="宋体" w:hAnsi="宋体" w:hint="eastAsia"/>
                <w:szCs w:val="21"/>
              </w:rPr>
              <w:t>具体要求</w:t>
            </w:r>
            <w:r w:rsidR="00187200" w:rsidRPr="00187200">
              <w:rPr>
                <w:rFonts w:ascii="宋体" w:hAnsi="宋体" w:hint="eastAsia"/>
                <w:szCs w:val="21"/>
              </w:rPr>
              <w:t>和两者的异同之处。同时，掌握面对社会工作常见的伦理困境时有</w:t>
            </w:r>
            <w:proofErr w:type="gramStart"/>
            <w:r w:rsidR="00187200" w:rsidRPr="00187200">
              <w:rPr>
                <w:rFonts w:ascii="宋体" w:hAnsi="宋体" w:hint="eastAsia"/>
                <w:szCs w:val="21"/>
              </w:rPr>
              <w:t>哪些处理</w:t>
            </w:r>
            <w:proofErr w:type="gramEnd"/>
            <w:r w:rsidR="00187200" w:rsidRPr="00187200">
              <w:rPr>
                <w:rFonts w:ascii="宋体" w:hAnsi="宋体" w:hint="eastAsia"/>
                <w:szCs w:val="21"/>
              </w:rPr>
              <w:t>的方法，并能根据案例进行简单应用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F56204" w:rsidRPr="0012505A" w:rsidRDefault="003A372A" w:rsidP="001A5F83">
            <w:pPr>
              <w:widowControl/>
            </w:pPr>
            <w:r>
              <w:rPr>
                <w:rFonts w:ascii="宋体" w:hAnsi="宋体" w:hint="eastAsia"/>
                <w:szCs w:val="21"/>
              </w:rPr>
              <w:t>本次课程的</w:t>
            </w:r>
            <w:r w:rsidR="00CC011A">
              <w:rPr>
                <w:rFonts w:ascii="宋体" w:hAnsi="宋体" w:hint="eastAsia"/>
                <w:szCs w:val="21"/>
              </w:rPr>
              <w:t>认知</w:t>
            </w:r>
            <w:r>
              <w:rPr>
                <w:rFonts w:ascii="宋体" w:hAnsi="宋体" w:hint="eastAsia"/>
                <w:szCs w:val="21"/>
              </w:rPr>
              <w:t>教学目标</w:t>
            </w:r>
            <w:r w:rsidR="0011181B">
              <w:rPr>
                <w:rFonts w:ascii="宋体" w:hAnsi="宋体" w:hint="eastAsia"/>
                <w:szCs w:val="21"/>
              </w:rPr>
              <w:t>为</w:t>
            </w:r>
            <w:r w:rsidR="001A5F83">
              <w:rPr>
                <w:rFonts w:ascii="宋体" w:hAnsi="宋体" w:hint="eastAsia"/>
                <w:szCs w:val="21"/>
              </w:rPr>
              <w:t>理解社会工作专业伦理的意义，掌握常见社会工作专业伦理的具体要求</w:t>
            </w:r>
            <w:r w:rsidR="00187200">
              <w:rPr>
                <w:rFonts w:ascii="宋体" w:hAnsi="宋体" w:hint="eastAsia"/>
                <w:szCs w:val="21"/>
              </w:rPr>
              <w:t>；能力</w:t>
            </w:r>
            <w:r w:rsidR="00AB7861">
              <w:rPr>
                <w:rFonts w:ascii="宋体" w:hAnsi="宋体" w:hint="eastAsia"/>
                <w:szCs w:val="21"/>
              </w:rPr>
              <w:t>教学目标为</w:t>
            </w:r>
            <w:r w:rsidR="001A5F83">
              <w:rPr>
                <w:rFonts w:ascii="宋体" w:hAnsi="宋体" w:hint="eastAsia"/>
                <w:szCs w:val="21"/>
              </w:rPr>
              <w:t>能够应用专业伦理要求分析具体实践工作中的伦理遵守情况</w:t>
            </w:r>
            <w:r w:rsidR="00AB7861">
              <w:rPr>
                <w:rFonts w:ascii="宋体" w:hAnsi="宋体" w:hint="eastAsia"/>
                <w:szCs w:val="21"/>
              </w:rPr>
              <w:t>；情操与价值</w:t>
            </w:r>
            <w:r w:rsidR="00AD4F85">
              <w:rPr>
                <w:rFonts w:ascii="宋体" w:hAnsi="宋体" w:hint="eastAsia"/>
                <w:szCs w:val="21"/>
              </w:rPr>
              <w:t>的</w:t>
            </w:r>
            <w:r w:rsidR="001A5F83">
              <w:rPr>
                <w:rFonts w:ascii="宋体" w:hAnsi="宋体" w:hint="eastAsia"/>
                <w:szCs w:val="21"/>
              </w:rPr>
              <w:t>目标为初步建立起社会工作的专业责任感，以专业的态度面对社会工作服务</w:t>
            </w:r>
            <w:r w:rsidR="00187200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235EF5" w:rsidTr="00FD6E8A">
        <w:trPr>
          <w:trHeight w:val="614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791589" w:rsidRDefault="003A372A" w:rsidP="007915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教学重点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Default="001A5F83" w:rsidP="00FD6E8A">
            <w:pPr>
              <w:widowControl/>
            </w:pPr>
            <w:r>
              <w:rPr>
                <w:rFonts w:hint="eastAsia"/>
              </w:rPr>
              <w:t>社会工作专业伦理的具体要求</w:t>
            </w:r>
            <w:r w:rsidR="003A372A">
              <w:rPr>
                <w:rFonts w:hint="eastAsia"/>
              </w:rPr>
              <w:t>。</w:t>
            </w:r>
          </w:p>
        </w:tc>
      </w:tr>
      <w:tr w:rsidR="00235EF5" w:rsidRPr="003A372A" w:rsidTr="00FD6E8A">
        <w:trPr>
          <w:trHeight w:val="605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791589" w:rsidRDefault="003A372A" w:rsidP="007915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</w:t>
            </w:r>
            <w:r w:rsidR="00791589" w:rsidRPr="00791589">
              <w:rPr>
                <w:rFonts w:hint="eastAsia"/>
                <w:b/>
                <w:sz w:val="24"/>
              </w:rPr>
              <w:t>难点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Default="001A5F83" w:rsidP="00187200">
            <w:pPr>
              <w:widowControl/>
              <w:jc w:val="left"/>
            </w:pPr>
            <w:r>
              <w:rPr>
                <w:rFonts w:hint="eastAsia"/>
              </w:rPr>
              <w:t>伦理对话的分析</w:t>
            </w:r>
          </w:p>
        </w:tc>
      </w:tr>
      <w:tr w:rsidR="00235EF5" w:rsidTr="00FD6E8A">
        <w:trPr>
          <w:trHeight w:val="459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791589" w:rsidRDefault="00791589" w:rsidP="00791589">
            <w:pPr>
              <w:jc w:val="center"/>
              <w:rPr>
                <w:b/>
                <w:sz w:val="24"/>
              </w:rPr>
            </w:pPr>
            <w:r w:rsidRPr="00791589">
              <w:rPr>
                <w:rFonts w:hint="eastAsia"/>
                <w:b/>
                <w:sz w:val="24"/>
              </w:rPr>
              <w:t>教学方法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Default="001A5F83" w:rsidP="00FD6E8A">
            <w:pPr>
              <w:widowControl/>
            </w:pPr>
            <w:r>
              <w:rPr>
                <w:rFonts w:cs="宋体" w:hint="eastAsia"/>
              </w:rPr>
              <w:t>案例导入、</w:t>
            </w:r>
            <w:r w:rsidR="00507D38">
              <w:rPr>
                <w:rFonts w:cs="宋体" w:hint="eastAsia"/>
              </w:rPr>
              <w:t>讲授法、</w:t>
            </w:r>
            <w:r w:rsidR="00791589">
              <w:rPr>
                <w:rFonts w:cs="宋体" w:hint="eastAsia"/>
              </w:rPr>
              <w:t>讨论法、提问法</w:t>
            </w:r>
            <w:r>
              <w:rPr>
                <w:rFonts w:cs="宋体" w:hint="eastAsia"/>
              </w:rPr>
              <w:t>、课堂实践</w:t>
            </w:r>
            <w:r w:rsidR="004927A0">
              <w:rPr>
                <w:rFonts w:cs="宋体" w:hint="eastAsia"/>
              </w:rPr>
              <w:t>等</w:t>
            </w:r>
            <w:r w:rsidR="008C6365">
              <w:rPr>
                <w:rFonts w:cs="宋体" w:hint="eastAsia"/>
              </w:rPr>
              <w:t>等。</w:t>
            </w:r>
          </w:p>
        </w:tc>
      </w:tr>
      <w:tr w:rsidR="00235EF5" w:rsidTr="00FD6E8A">
        <w:trPr>
          <w:trHeight w:val="748"/>
          <w:jc w:val="center"/>
        </w:trPr>
        <w:tc>
          <w:tcPr>
            <w:tcW w:w="8820" w:type="dxa"/>
            <w:gridSpan w:val="8"/>
            <w:tcBorders>
              <w:top w:val="single" w:sz="2" w:space="0" w:color="auto"/>
            </w:tcBorders>
            <w:vAlign w:val="center"/>
          </w:tcPr>
          <w:p w:rsidR="00235EF5" w:rsidRDefault="00235EF5" w:rsidP="000A0A37">
            <w:pPr>
              <w:jc w:val="center"/>
            </w:pPr>
            <w:r w:rsidRPr="00A37092">
              <w:rPr>
                <w:rFonts w:hint="eastAsia"/>
                <w:b/>
                <w:sz w:val="24"/>
              </w:rPr>
              <w:t>教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学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主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要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内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容</w:t>
            </w:r>
          </w:p>
        </w:tc>
      </w:tr>
      <w:tr w:rsidR="00235EF5" w:rsidTr="003A372A">
        <w:trPr>
          <w:trHeight w:val="2274"/>
          <w:jc w:val="center"/>
        </w:trPr>
        <w:tc>
          <w:tcPr>
            <w:tcW w:w="8820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35EF5" w:rsidRPr="00AB6000" w:rsidRDefault="00235EF5" w:rsidP="000A0A37">
            <w:pPr>
              <w:jc w:val="left"/>
              <w:rPr>
                <w:b/>
              </w:rPr>
            </w:pPr>
            <w:r>
              <w:br w:type="page"/>
            </w:r>
            <w:r>
              <w:br w:type="page"/>
            </w:r>
            <w:r>
              <w:rPr>
                <w:rFonts w:hint="eastAsia"/>
                <w:b/>
              </w:rPr>
              <w:t>●</w:t>
            </w:r>
            <w:r>
              <w:rPr>
                <w:b/>
              </w:rPr>
              <w:t xml:space="preserve"> </w:t>
            </w:r>
            <w:r w:rsidRPr="00AB6000">
              <w:rPr>
                <w:rFonts w:ascii="宋体" w:hAnsi="宋体" w:hint="eastAsia"/>
                <w:b/>
                <w:szCs w:val="21"/>
              </w:rPr>
              <w:t>课程导入</w:t>
            </w:r>
          </w:p>
          <w:p w:rsidR="005518B0" w:rsidRDefault="00024B14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提问</w:t>
            </w:r>
            <w:r w:rsidR="005518B0">
              <w:rPr>
                <w:rFonts w:ascii="宋体" w:hAnsi="宋体" w:hint="eastAsia"/>
                <w:szCs w:val="21"/>
              </w:rPr>
              <w:t>：</w:t>
            </w:r>
            <w:r w:rsidR="004927A0">
              <w:rPr>
                <w:rFonts w:ascii="宋体" w:hAnsi="宋体" w:hint="eastAsia"/>
                <w:szCs w:val="21"/>
              </w:rPr>
              <w:t>伦理</w:t>
            </w:r>
            <w:r w:rsidR="001A5F83">
              <w:rPr>
                <w:rFonts w:ascii="宋体" w:hAnsi="宋体" w:hint="eastAsia"/>
                <w:szCs w:val="21"/>
              </w:rPr>
              <w:t>和专业伦理的涵义</w:t>
            </w:r>
            <w:r w:rsidR="00DA21DC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</w:t>
            </w:r>
            <w:r w:rsidR="00DA21DC">
              <w:rPr>
                <w:rFonts w:ascii="宋体" w:hAnsi="宋体" w:hint="eastAsia"/>
                <w:szCs w:val="21"/>
              </w:rPr>
              <w:t>分钟）</w:t>
            </w:r>
            <w:r w:rsidR="00235EF5">
              <w:rPr>
                <w:rFonts w:ascii="宋体" w:hAnsi="宋体" w:hint="eastAsia"/>
                <w:szCs w:val="21"/>
              </w:rPr>
              <w:t>。</w:t>
            </w:r>
          </w:p>
          <w:p w:rsidR="00024B14" w:rsidRDefault="00024B14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</w:p>
          <w:p w:rsidR="00024B14" w:rsidRDefault="00024B14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</w:p>
          <w:p w:rsidR="00024B14" w:rsidRDefault="00024B14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</w:p>
          <w:p w:rsidR="00024B14" w:rsidRPr="00565F7D" w:rsidRDefault="00024B14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</w:p>
          <w:p w:rsidR="00024B14" w:rsidRPr="00235EF5" w:rsidRDefault="00235EF5" w:rsidP="00024B1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●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1E71B6">
              <w:rPr>
                <w:rFonts w:ascii="宋体" w:hAnsi="宋体" w:hint="eastAsia"/>
                <w:b/>
                <w:szCs w:val="21"/>
              </w:rPr>
              <w:t>教学过程</w:t>
            </w:r>
          </w:p>
          <w:p w:rsidR="00235EF5" w:rsidRPr="00235EF5" w:rsidRDefault="00235EF5" w:rsidP="004927A0">
            <w:pPr>
              <w:ind w:firstLineChars="150" w:firstLine="315"/>
              <w:rPr>
                <w:rFonts w:ascii="宋体"/>
                <w:szCs w:val="21"/>
              </w:rPr>
            </w:pPr>
          </w:p>
        </w:tc>
      </w:tr>
      <w:tr w:rsidR="00235EF5" w:rsidTr="005518B0">
        <w:trPr>
          <w:trHeight w:val="618"/>
          <w:jc w:val="center"/>
        </w:trPr>
        <w:tc>
          <w:tcPr>
            <w:tcW w:w="4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5518B0" w:rsidRDefault="008C6365" w:rsidP="005518B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具体</w:t>
            </w:r>
            <w:r w:rsidR="00235EF5" w:rsidRPr="00AB6000">
              <w:rPr>
                <w:rFonts w:ascii="宋体" w:hAnsi="宋体" w:hint="eastAsia"/>
                <w:b/>
                <w:szCs w:val="21"/>
              </w:rPr>
              <w:t>的内容</w:t>
            </w:r>
            <w:r>
              <w:rPr>
                <w:rFonts w:ascii="宋体" w:hAnsi="宋体" w:hint="eastAsia"/>
                <w:b/>
                <w:szCs w:val="21"/>
              </w:rPr>
              <w:t>与安排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Pr="00086EB6" w:rsidRDefault="005518B0" w:rsidP="005518B0">
            <w:pPr>
              <w:spacing w:line="240" w:lineRule="atLeast"/>
              <w:ind w:right="-147"/>
              <w:jc w:val="center"/>
              <w:rPr>
                <w:b/>
              </w:rPr>
            </w:pPr>
            <w:r w:rsidRPr="00086EB6">
              <w:rPr>
                <w:rFonts w:hint="eastAsia"/>
                <w:b/>
              </w:rPr>
              <w:t>教学手段与</w:t>
            </w:r>
            <w:r w:rsidR="003A372A">
              <w:rPr>
                <w:rFonts w:hint="eastAsia"/>
                <w:b/>
              </w:rPr>
              <w:t>教学</w:t>
            </w:r>
            <w:r w:rsidR="00086EB6" w:rsidRPr="00086EB6">
              <w:rPr>
                <w:rFonts w:hint="eastAsia"/>
                <w:b/>
              </w:rPr>
              <w:t>目标</w:t>
            </w:r>
          </w:p>
        </w:tc>
      </w:tr>
      <w:tr w:rsidR="00235EF5" w:rsidTr="00024B14">
        <w:trPr>
          <w:trHeight w:val="2495"/>
          <w:jc w:val="center"/>
        </w:trPr>
        <w:tc>
          <w:tcPr>
            <w:tcW w:w="4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B0" w:rsidRPr="00086EB6" w:rsidRDefault="00DA21DC" w:rsidP="00024B14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课程回顾：</w:t>
            </w:r>
            <w:r w:rsidR="00024B14">
              <w:rPr>
                <w:rFonts w:ascii="宋体" w:hAnsi="宋体" w:hint="eastAsia"/>
                <w:szCs w:val="21"/>
              </w:rPr>
              <w:t>伦理和专业伦理的涵义</w:t>
            </w:r>
            <w:r w:rsidR="005518B0" w:rsidRPr="00086EB6">
              <w:rPr>
                <w:rFonts w:ascii="宋体" w:hint="eastAsia"/>
                <w:szCs w:val="21"/>
              </w:rPr>
              <w:t>（</w:t>
            </w:r>
            <w:r w:rsidR="00951CA8">
              <w:rPr>
                <w:rFonts w:ascii="宋体" w:hint="eastAsia"/>
                <w:szCs w:val="21"/>
              </w:rPr>
              <w:t>3</w:t>
            </w:r>
            <w:r w:rsidR="005518B0" w:rsidRPr="00086EB6">
              <w:rPr>
                <w:rFonts w:ascii="宋体" w:hint="eastAsia"/>
                <w:szCs w:val="21"/>
              </w:rPr>
              <w:t>分钟）</w:t>
            </w:r>
            <w:r w:rsidR="008C6365">
              <w:rPr>
                <w:rFonts w:ascii="宋体" w:hint="eastAsia"/>
                <w:szCs w:val="21"/>
              </w:rPr>
              <w:t>：</w:t>
            </w:r>
          </w:p>
          <w:p w:rsidR="00791589" w:rsidRPr="00951CA8" w:rsidRDefault="00791589" w:rsidP="00024B14">
            <w:pPr>
              <w:jc w:val="left"/>
              <w:rPr>
                <w:rFonts w:ascii="宋体"/>
                <w:szCs w:val="21"/>
              </w:rPr>
            </w:pPr>
          </w:p>
          <w:p w:rsidR="00DA21DC" w:rsidRPr="00BA6861" w:rsidRDefault="00DA21DC" w:rsidP="00024B14">
            <w:pPr>
              <w:jc w:val="left"/>
              <w:rPr>
                <w:rFonts w:ascii="宋体"/>
                <w:szCs w:val="21"/>
              </w:rPr>
            </w:pPr>
          </w:p>
          <w:p w:rsidR="00DA21DC" w:rsidRDefault="00DA21DC" w:rsidP="00024B14">
            <w:pPr>
              <w:jc w:val="left"/>
              <w:rPr>
                <w:rFonts w:ascii="宋体"/>
                <w:szCs w:val="21"/>
              </w:rPr>
            </w:pPr>
          </w:p>
          <w:p w:rsidR="00F44FE4" w:rsidRDefault="00595BF8" w:rsidP="00024B14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案例</w:t>
            </w:r>
            <w:r w:rsidR="00024B14">
              <w:rPr>
                <w:rFonts w:ascii="宋体" w:hint="eastAsia"/>
                <w:szCs w:val="21"/>
              </w:rPr>
              <w:t>讨论</w:t>
            </w:r>
            <w:r w:rsidR="004927A0">
              <w:rPr>
                <w:rFonts w:ascii="宋体" w:hint="eastAsia"/>
                <w:szCs w:val="21"/>
              </w:rPr>
              <w:t>：</w:t>
            </w:r>
            <w:r w:rsidR="00024B14">
              <w:rPr>
                <w:rFonts w:ascii="宋体" w:hint="eastAsia"/>
                <w:szCs w:val="21"/>
              </w:rPr>
              <w:t>怎么看待柏阿姨的话？（</w:t>
            </w:r>
            <w:r w:rsidR="00951CA8">
              <w:rPr>
                <w:rFonts w:ascii="宋体" w:hint="eastAsia"/>
                <w:szCs w:val="21"/>
              </w:rPr>
              <w:t>3</w:t>
            </w:r>
            <w:r w:rsidR="00024B14">
              <w:rPr>
                <w:rFonts w:ascii="宋体" w:hint="eastAsia"/>
                <w:szCs w:val="21"/>
              </w:rPr>
              <w:t>分钟）</w:t>
            </w:r>
          </w:p>
          <w:p w:rsidR="00595BF8" w:rsidRDefault="00595BF8" w:rsidP="00024B14">
            <w:pPr>
              <w:jc w:val="left"/>
              <w:rPr>
                <w:rFonts w:ascii="宋体"/>
                <w:szCs w:val="21"/>
              </w:rPr>
            </w:pPr>
          </w:p>
          <w:p w:rsidR="00595BF8" w:rsidRDefault="00595BF8" w:rsidP="00024B14">
            <w:pPr>
              <w:jc w:val="left"/>
              <w:rPr>
                <w:rFonts w:ascii="宋体"/>
                <w:szCs w:val="21"/>
              </w:rPr>
            </w:pPr>
          </w:p>
          <w:p w:rsidR="00595BF8" w:rsidRDefault="00595BF8" w:rsidP="00024B14">
            <w:pPr>
              <w:jc w:val="left"/>
              <w:rPr>
                <w:rFonts w:ascii="宋体"/>
                <w:szCs w:val="21"/>
              </w:rPr>
            </w:pPr>
          </w:p>
          <w:p w:rsidR="00595BF8" w:rsidRDefault="00595BF8" w:rsidP="00595BF8">
            <w:pPr>
              <w:jc w:val="left"/>
              <w:rPr>
                <w:rFonts w:ascii="宋体"/>
                <w:szCs w:val="21"/>
              </w:rPr>
            </w:pPr>
            <w:r w:rsidRPr="00595BF8">
              <w:rPr>
                <w:rFonts w:ascii="宋体"/>
                <w:szCs w:val="21"/>
              </w:rPr>
              <w:t xml:space="preserve">2.2.1 </w:t>
            </w:r>
            <w:r>
              <w:rPr>
                <w:rFonts w:ascii="宋体" w:hint="eastAsia"/>
                <w:szCs w:val="21"/>
              </w:rPr>
              <w:t>社会工作专业伦理的意义</w:t>
            </w:r>
            <w:r w:rsidR="00951CA8">
              <w:rPr>
                <w:rFonts w:ascii="宋体" w:hint="eastAsia"/>
                <w:szCs w:val="21"/>
              </w:rPr>
              <w:t>（5分钟）</w:t>
            </w:r>
          </w:p>
          <w:p w:rsidR="008C7938" w:rsidRPr="00595BF8" w:rsidRDefault="00400DA0" w:rsidP="00595BF8">
            <w:pPr>
              <w:numPr>
                <w:ilvl w:val="0"/>
                <w:numId w:val="8"/>
              </w:numPr>
              <w:tabs>
                <w:tab w:val="num" w:pos="720"/>
              </w:tabs>
              <w:jc w:val="left"/>
              <w:rPr>
                <w:rFonts w:ascii="宋体"/>
                <w:szCs w:val="21"/>
              </w:rPr>
            </w:pPr>
            <w:r w:rsidRPr="00595BF8">
              <w:rPr>
                <w:rFonts w:ascii="宋体" w:hint="eastAsia"/>
                <w:szCs w:val="21"/>
              </w:rPr>
              <w:t>确定专业的范畴；</w:t>
            </w:r>
          </w:p>
          <w:p w:rsidR="008C7938" w:rsidRPr="00595BF8" w:rsidRDefault="00400DA0" w:rsidP="00595BF8">
            <w:pPr>
              <w:numPr>
                <w:ilvl w:val="0"/>
                <w:numId w:val="8"/>
              </w:numPr>
              <w:tabs>
                <w:tab w:val="num" w:pos="720"/>
              </w:tabs>
              <w:jc w:val="left"/>
              <w:rPr>
                <w:rFonts w:ascii="宋体"/>
                <w:szCs w:val="21"/>
              </w:rPr>
            </w:pPr>
            <w:r w:rsidRPr="00595BF8">
              <w:rPr>
                <w:rFonts w:ascii="宋体" w:hint="eastAsia"/>
                <w:szCs w:val="21"/>
              </w:rPr>
              <w:t>规范专业人员的言行；</w:t>
            </w:r>
          </w:p>
          <w:p w:rsidR="008C7938" w:rsidRPr="00595BF8" w:rsidRDefault="00400DA0" w:rsidP="00595BF8">
            <w:pPr>
              <w:numPr>
                <w:ilvl w:val="0"/>
                <w:numId w:val="8"/>
              </w:numPr>
              <w:tabs>
                <w:tab w:val="num" w:pos="720"/>
              </w:tabs>
              <w:jc w:val="left"/>
              <w:rPr>
                <w:rFonts w:ascii="宋体"/>
                <w:szCs w:val="21"/>
              </w:rPr>
            </w:pPr>
            <w:r w:rsidRPr="00595BF8">
              <w:rPr>
                <w:rFonts w:ascii="宋体" w:hint="eastAsia"/>
                <w:szCs w:val="21"/>
              </w:rPr>
              <w:t>评判专业活动的实施。</w:t>
            </w:r>
          </w:p>
          <w:p w:rsidR="00595BF8" w:rsidRDefault="00595BF8" w:rsidP="00595BF8">
            <w:pPr>
              <w:jc w:val="left"/>
              <w:rPr>
                <w:rFonts w:ascii="宋体"/>
                <w:szCs w:val="21"/>
              </w:rPr>
            </w:pPr>
          </w:p>
          <w:p w:rsidR="00595BF8" w:rsidRDefault="00595BF8" w:rsidP="00595BF8">
            <w:pPr>
              <w:jc w:val="left"/>
              <w:rPr>
                <w:rFonts w:ascii="宋体"/>
                <w:szCs w:val="21"/>
              </w:rPr>
            </w:pPr>
            <w:r w:rsidRPr="00595BF8">
              <w:rPr>
                <w:rFonts w:ascii="宋体"/>
                <w:szCs w:val="21"/>
              </w:rPr>
              <w:t xml:space="preserve">2.2.2 </w:t>
            </w:r>
            <w:r w:rsidRPr="00595BF8">
              <w:rPr>
                <w:rFonts w:ascii="宋体" w:hint="eastAsia"/>
                <w:szCs w:val="21"/>
              </w:rPr>
              <w:t>社会工作专业伦理的具体要求</w:t>
            </w:r>
            <w:r w:rsidR="00951CA8">
              <w:rPr>
                <w:rFonts w:ascii="宋体" w:hint="eastAsia"/>
                <w:szCs w:val="21"/>
              </w:rPr>
              <w:t>（15分</w:t>
            </w:r>
            <w:r w:rsidR="00951CA8">
              <w:rPr>
                <w:rFonts w:ascii="宋体" w:hint="eastAsia"/>
                <w:szCs w:val="21"/>
              </w:rPr>
              <w:lastRenderedPageBreak/>
              <w:t>钟）</w:t>
            </w:r>
          </w:p>
          <w:p w:rsidR="00595BF8" w:rsidRDefault="00595BF8" w:rsidP="00595BF8">
            <w:pPr>
              <w:pStyle w:val="a3"/>
              <w:numPr>
                <w:ilvl w:val="0"/>
                <w:numId w:val="9"/>
              </w:numPr>
              <w:ind w:firstLineChars="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直接伦理责任</w:t>
            </w:r>
            <w:r>
              <w:rPr>
                <w:rFonts w:ascii="宋体" w:hint="eastAsia"/>
                <w:szCs w:val="21"/>
              </w:rPr>
              <w:br/>
            </w:r>
            <w:r>
              <w:rPr>
                <w:rFonts w:ascii="宋体"/>
                <w:szCs w:val="21"/>
              </w:rPr>
              <w:fldChar w:fldCharType="begin"/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 w:hint="eastAsia"/>
                <w:szCs w:val="21"/>
              </w:rPr>
              <w:instrText>= 1 \* GB3</w:instrText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 w:hint="eastAsia"/>
                <w:noProof/>
                <w:szCs w:val="21"/>
              </w:rPr>
              <w:t>①</w:t>
            </w:r>
            <w:r>
              <w:rPr>
                <w:rFonts w:ascii="宋体"/>
                <w:szCs w:val="21"/>
              </w:rPr>
              <w:fldChar w:fldCharType="end"/>
            </w:r>
            <w:r>
              <w:rPr>
                <w:rFonts w:ascii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hint="eastAsia"/>
                <w:szCs w:val="21"/>
              </w:rPr>
              <w:t>针对案</w:t>
            </w:r>
            <w:proofErr w:type="gramEnd"/>
            <w:r>
              <w:rPr>
                <w:rFonts w:ascii="宋体" w:hint="eastAsia"/>
                <w:szCs w:val="21"/>
              </w:rPr>
              <w:t>主的伦理责任；</w:t>
            </w:r>
            <w:r>
              <w:rPr>
                <w:rFonts w:ascii="宋体" w:hint="eastAsia"/>
                <w:szCs w:val="21"/>
              </w:rPr>
              <w:br/>
            </w:r>
            <w:r>
              <w:rPr>
                <w:rFonts w:ascii="宋体"/>
                <w:szCs w:val="21"/>
              </w:rPr>
              <w:fldChar w:fldCharType="begin"/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 w:hint="eastAsia"/>
                <w:szCs w:val="21"/>
              </w:rPr>
              <w:instrText>= 2 \* GB3</w:instrText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 w:hint="eastAsia"/>
                <w:noProof/>
                <w:szCs w:val="21"/>
              </w:rPr>
              <w:t>②</w:t>
            </w:r>
            <w:r>
              <w:rPr>
                <w:rFonts w:ascii="宋体"/>
                <w:szCs w:val="21"/>
              </w:rPr>
              <w:fldChar w:fldCharType="end"/>
            </w:r>
            <w:r>
              <w:rPr>
                <w:rFonts w:ascii="宋体" w:hint="eastAsia"/>
                <w:szCs w:val="21"/>
              </w:rPr>
              <w:t xml:space="preserve"> 作为专业人员的责任。</w:t>
            </w:r>
          </w:p>
          <w:p w:rsidR="00595BF8" w:rsidRDefault="00595BF8" w:rsidP="00595BF8">
            <w:pPr>
              <w:pStyle w:val="a3"/>
              <w:numPr>
                <w:ilvl w:val="0"/>
                <w:numId w:val="9"/>
              </w:numPr>
              <w:ind w:firstLineChars="0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间接伦理责任</w:t>
            </w:r>
          </w:p>
          <w:p w:rsidR="00595BF8" w:rsidRDefault="00595BF8" w:rsidP="00595BF8">
            <w:pPr>
              <w:pStyle w:val="a3"/>
              <w:ind w:left="420" w:firstLineChars="0" w:firstLine="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fldChar w:fldCharType="begin"/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 w:hint="eastAsia"/>
                <w:szCs w:val="21"/>
              </w:rPr>
              <w:instrText>= 1 \* GB3</w:instrText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 w:hint="eastAsia"/>
                <w:noProof/>
                <w:szCs w:val="21"/>
              </w:rPr>
              <w:t>①</w:t>
            </w:r>
            <w:r>
              <w:rPr>
                <w:rFonts w:ascii="宋体"/>
                <w:szCs w:val="21"/>
              </w:rPr>
              <w:fldChar w:fldCharType="end"/>
            </w:r>
            <w:r>
              <w:rPr>
                <w:rFonts w:ascii="宋体" w:hint="eastAsia"/>
                <w:szCs w:val="21"/>
              </w:rPr>
              <w:t xml:space="preserve"> 针对同事的伦理责任；</w:t>
            </w:r>
          </w:p>
          <w:p w:rsidR="00595BF8" w:rsidRDefault="00595BF8" w:rsidP="00595BF8">
            <w:pPr>
              <w:pStyle w:val="a3"/>
              <w:ind w:left="420" w:firstLineChars="0" w:firstLine="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fldChar w:fldCharType="begin"/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 w:hint="eastAsia"/>
                <w:szCs w:val="21"/>
              </w:rPr>
              <w:instrText>= 2 \* GB3</w:instrText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 w:hint="eastAsia"/>
                <w:noProof/>
                <w:szCs w:val="21"/>
              </w:rPr>
              <w:t>②</w:t>
            </w:r>
            <w:r>
              <w:rPr>
                <w:rFonts w:ascii="宋体"/>
                <w:szCs w:val="21"/>
              </w:rPr>
              <w:fldChar w:fldCharType="end"/>
            </w:r>
            <w:r>
              <w:rPr>
                <w:rFonts w:ascii="宋体" w:hint="eastAsia"/>
                <w:szCs w:val="21"/>
              </w:rPr>
              <w:t xml:space="preserve"> 针对机构的伦理责任；</w:t>
            </w:r>
          </w:p>
          <w:p w:rsidR="00595BF8" w:rsidRDefault="00595BF8" w:rsidP="00595BF8">
            <w:pPr>
              <w:pStyle w:val="a3"/>
              <w:ind w:left="420" w:firstLineChars="0" w:firstLine="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fldChar w:fldCharType="begin"/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 w:hint="eastAsia"/>
                <w:szCs w:val="21"/>
              </w:rPr>
              <w:instrText>= 3 \* GB3</w:instrText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 w:hint="eastAsia"/>
                <w:noProof/>
                <w:szCs w:val="21"/>
              </w:rPr>
              <w:t>③</w:t>
            </w:r>
            <w:r>
              <w:rPr>
                <w:rFonts w:ascii="宋体"/>
                <w:szCs w:val="21"/>
              </w:rPr>
              <w:fldChar w:fldCharType="end"/>
            </w:r>
            <w:r>
              <w:rPr>
                <w:rFonts w:ascii="宋体" w:hint="eastAsia"/>
                <w:szCs w:val="21"/>
              </w:rPr>
              <w:t xml:space="preserve"> 对社会全体的伦理责任。</w:t>
            </w:r>
          </w:p>
          <w:p w:rsidR="00951CA8" w:rsidRDefault="00951CA8" w:rsidP="00951CA8">
            <w:pPr>
              <w:jc w:val="left"/>
              <w:rPr>
                <w:rFonts w:ascii="宋体"/>
                <w:szCs w:val="21"/>
              </w:rPr>
            </w:pPr>
          </w:p>
          <w:p w:rsidR="00951CA8" w:rsidRPr="00951CA8" w:rsidRDefault="00951CA8" w:rsidP="00951CA8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案例分析：伦理对话的辨析（10分钟，</w:t>
            </w:r>
            <w:proofErr w:type="gramStart"/>
            <w:r>
              <w:rPr>
                <w:rFonts w:ascii="宋体" w:hint="eastAsia"/>
                <w:szCs w:val="21"/>
              </w:rPr>
              <w:t>含回家</w:t>
            </w:r>
            <w:proofErr w:type="gramEnd"/>
            <w:r>
              <w:rPr>
                <w:rFonts w:ascii="宋体" w:hint="eastAsia"/>
                <w:szCs w:val="21"/>
              </w:rPr>
              <w:t>作业布置）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EF5" w:rsidRDefault="004927A0" w:rsidP="008C636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课程回顾：</w:t>
            </w:r>
            <w:r w:rsidR="005518B0">
              <w:rPr>
                <w:rFonts w:ascii="宋体" w:hAnsi="宋体" w:hint="eastAsia"/>
                <w:szCs w:val="21"/>
              </w:rPr>
              <w:t>通过</w:t>
            </w:r>
            <w:r w:rsidR="008C6365">
              <w:rPr>
                <w:rFonts w:ascii="宋体" w:hAnsi="宋体" w:hint="eastAsia"/>
                <w:szCs w:val="21"/>
              </w:rPr>
              <w:t>提问</w:t>
            </w:r>
            <w:r w:rsidR="00DA21DC">
              <w:rPr>
                <w:rFonts w:ascii="宋体" w:hAnsi="宋体" w:hint="eastAsia"/>
                <w:szCs w:val="21"/>
              </w:rPr>
              <w:t>与回答来</w:t>
            </w:r>
            <w:r w:rsidR="005518B0">
              <w:rPr>
                <w:rFonts w:ascii="宋体" w:hAnsi="宋体" w:hint="eastAsia"/>
                <w:szCs w:val="21"/>
              </w:rPr>
              <w:t>回顾上一节课的内容，检验学生</w:t>
            </w:r>
            <w:proofErr w:type="gramStart"/>
            <w:r w:rsidR="005518B0">
              <w:rPr>
                <w:rFonts w:ascii="宋体" w:hAnsi="宋体" w:hint="eastAsia"/>
                <w:szCs w:val="21"/>
              </w:rPr>
              <w:t>对前</w:t>
            </w:r>
            <w:r w:rsidR="00791589">
              <w:rPr>
                <w:rFonts w:ascii="宋体" w:hAnsi="宋体" w:hint="eastAsia"/>
                <w:szCs w:val="21"/>
              </w:rPr>
              <w:t>课</w:t>
            </w:r>
            <w:r w:rsidR="00EB75AC">
              <w:rPr>
                <w:rFonts w:ascii="宋体" w:hAnsi="宋体" w:hint="eastAsia"/>
                <w:szCs w:val="21"/>
              </w:rPr>
              <w:t>知识的掌握</w:t>
            </w:r>
            <w:proofErr w:type="gramEnd"/>
            <w:r w:rsidR="00EB75AC">
              <w:rPr>
                <w:rFonts w:ascii="宋体" w:hAnsi="宋体" w:hint="eastAsia"/>
                <w:szCs w:val="21"/>
              </w:rPr>
              <w:t>与</w:t>
            </w:r>
            <w:r w:rsidR="005518B0">
              <w:rPr>
                <w:rFonts w:ascii="宋体" w:hAnsi="宋体" w:hint="eastAsia"/>
                <w:szCs w:val="21"/>
              </w:rPr>
              <w:t>课后复习情况。</w:t>
            </w:r>
          </w:p>
          <w:p w:rsidR="004927A0" w:rsidRDefault="004927A0" w:rsidP="00086EB6">
            <w:pPr>
              <w:jc w:val="left"/>
              <w:rPr>
                <w:rFonts w:ascii="宋体" w:hAnsi="宋体"/>
                <w:szCs w:val="21"/>
              </w:rPr>
            </w:pPr>
          </w:p>
          <w:p w:rsidR="00E65A8B" w:rsidRPr="00791589" w:rsidRDefault="00595BF8" w:rsidP="00E65A8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案例</w:t>
            </w:r>
            <w:r w:rsidR="00E65A8B">
              <w:rPr>
                <w:rFonts w:ascii="宋体" w:hAnsi="宋体" w:hint="eastAsia"/>
                <w:szCs w:val="21"/>
              </w:rPr>
              <w:t>讨论</w:t>
            </w:r>
            <w:r w:rsidR="00DA21DC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通过该案例</w:t>
            </w:r>
            <w:r>
              <w:rPr>
                <w:rFonts w:ascii="宋体" w:hAnsi="宋体"/>
                <w:szCs w:val="21"/>
              </w:rPr>
              <w:t>了</w:t>
            </w:r>
            <w:r>
              <w:rPr>
                <w:rFonts w:ascii="宋体" w:hAnsi="宋体" w:hint="eastAsia"/>
                <w:szCs w:val="21"/>
              </w:rPr>
              <w:t>解学生目前对于公益工作中的伦理要求认识，并进一步推导出社会工作专业伦理的意义。</w:t>
            </w:r>
          </w:p>
          <w:p w:rsidR="00F44FE4" w:rsidRDefault="00F44FE4" w:rsidP="00DA21DC">
            <w:pPr>
              <w:jc w:val="left"/>
              <w:rPr>
                <w:rFonts w:ascii="宋体" w:hAnsi="宋体"/>
                <w:szCs w:val="21"/>
              </w:rPr>
            </w:pPr>
          </w:p>
          <w:p w:rsidR="00595BF8" w:rsidRDefault="00595BF8" w:rsidP="00595BF8">
            <w:pPr>
              <w:jc w:val="left"/>
              <w:rPr>
                <w:rFonts w:ascii="宋体"/>
                <w:szCs w:val="21"/>
              </w:rPr>
            </w:pPr>
            <w:r w:rsidRPr="00595BF8">
              <w:rPr>
                <w:rFonts w:ascii="宋体"/>
                <w:szCs w:val="21"/>
              </w:rPr>
              <w:t xml:space="preserve">2.2.1 </w:t>
            </w:r>
            <w:r>
              <w:rPr>
                <w:rFonts w:ascii="宋体" w:hint="eastAsia"/>
                <w:szCs w:val="21"/>
              </w:rPr>
              <w:t>通过之前案例讨论的铺垫，讲解社会工作专业伦理的意义，使学生理解学习伦理的目的，并树立起专业助人的意识。</w:t>
            </w:r>
          </w:p>
          <w:p w:rsidR="00595BF8" w:rsidRDefault="00595BF8" w:rsidP="00951CA8">
            <w:pPr>
              <w:rPr>
                <w:rFonts w:ascii="宋体" w:hAnsi="宋体"/>
                <w:szCs w:val="21"/>
              </w:rPr>
            </w:pPr>
          </w:p>
          <w:p w:rsidR="00951CA8" w:rsidRDefault="00951CA8" w:rsidP="00DA21DC">
            <w:pPr>
              <w:jc w:val="left"/>
              <w:rPr>
                <w:rFonts w:ascii="宋体" w:hAnsi="宋体"/>
                <w:szCs w:val="21"/>
              </w:rPr>
            </w:pPr>
          </w:p>
          <w:p w:rsidR="00951CA8" w:rsidRDefault="00951CA8" w:rsidP="00DA21DC">
            <w:pPr>
              <w:jc w:val="left"/>
              <w:rPr>
                <w:rFonts w:ascii="宋体"/>
                <w:szCs w:val="21"/>
              </w:rPr>
            </w:pPr>
            <w:r w:rsidRPr="00595BF8">
              <w:rPr>
                <w:rFonts w:ascii="宋体"/>
                <w:szCs w:val="21"/>
              </w:rPr>
              <w:t>2.2.2</w:t>
            </w:r>
            <w:r>
              <w:rPr>
                <w:rFonts w:ascii="宋体" w:hint="eastAsia"/>
                <w:szCs w:val="21"/>
              </w:rPr>
              <w:t xml:space="preserve"> 以直接工作和间接工作的划分，将社会</w:t>
            </w:r>
            <w:r>
              <w:rPr>
                <w:rFonts w:ascii="宋体" w:hint="eastAsia"/>
                <w:szCs w:val="21"/>
              </w:rPr>
              <w:lastRenderedPageBreak/>
              <w:t>工作的伦理要求</w:t>
            </w:r>
            <w:r w:rsidR="006D0A5B">
              <w:rPr>
                <w:rFonts w:ascii="宋体" w:hint="eastAsia"/>
                <w:szCs w:val="21"/>
              </w:rPr>
              <w:t>分成两大类进行讲解，同时辅以举例说明，使学生能够有条理性地掌握在不同层面上的专业伦理要求。</w:t>
            </w:r>
          </w:p>
          <w:p w:rsidR="006D0A5B" w:rsidRDefault="006D0A5B" w:rsidP="00DA21DC">
            <w:pPr>
              <w:jc w:val="left"/>
              <w:rPr>
                <w:rFonts w:ascii="宋体" w:hAnsi="宋体"/>
                <w:szCs w:val="21"/>
              </w:rPr>
            </w:pPr>
          </w:p>
          <w:p w:rsidR="006D0A5B" w:rsidRDefault="006D0A5B" w:rsidP="00DA21DC">
            <w:pPr>
              <w:jc w:val="left"/>
              <w:rPr>
                <w:rFonts w:ascii="宋体" w:hAnsi="宋体"/>
                <w:szCs w:val="21"/>
              </w:rPr>
            </w:pPr>
          </w:p>
          <w:p w:rsidR="006D0A5B" w:rsidRDefault="006D0A5B" w:rsidP="00DA21DC">
            <w:pPr>
              <w:jc w:val="left"/>
              <w:rPr>
                <w:rFonts w:ascii="宋体" w:hAnsi="宋体"/>
                <w:szCs w:val="21"/>
              </w:rPr>
            </w:pPr>
          </w:p>
          <w:p w:rsidR="006D0A5B" w:rsidRDefault="006D0A5B" w:rsidP="00DA21DC">
            <w:pPr>
              <w:jc w:val="left"/>
              <w:rPr>
                <w:rFonts w:ascii="宋体" w:hAnsi="宋体"/>
                <w:szCs w:val="21"/>
              </w:rPr>
            </w:pPr>
          </w:p>
          <w:p w:rsidR="006D0A5B" w:rsidRDefault="006D0A5B" w:rsidP="00DA21DC">
            <w:pPr>
              <w:jc w:val="left"/>
              <w:rPr>
                <w:rFonts w:ascii="宋体" w:hAnsi="宋体"/>
                <w:szCs w:val="21"/>
              </w:rPr>
            </w:pPr>
          </w:p>
          <w:p w:rsidR="006D0A5B" w:rsidRDefault="006D0A5B" w:rsidP="00DA21DC">
            <w:pPr>
              <w:jc w:val="left"/>
              <w:rPr>
                <w:rFonts w:ascii="宋体" w:hAnsi="宋体"/>
                <w:szCs w:val="21"/>
              </w:rPr>
            </w:pPr>
          </w:p>
          <w:p w:rsidR="006D0A5B" w:rsidRPr="006D0A5B" w:rsidRDefault="006D0A5B" w:rsidP="00DA21D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案例分析：在掌握社会工作专业伦理要求的基础上，以实际伦理对话的案例训练学生对专业伦理的应用能力。同时，在启发和示范教学以后，布置回家作业。</w:t>
            </w:r>
          </w:p>
        </w:tc>
      </w:tr>
      <w:tr w:rsidR="00235EF5" w:rsidTr="005518B0">
        <w:trPr>
          <w:trHeight w:val="2965"/>
          <w:jc w:val="center"/>
        </w:trPr>
        <w:tc>
          <w:tcPr>
            <w:tcW w:w="8820" w:type="dxa"/>
            <w:gridSpan w:val="8"/>
            <w:tcBorders>
              <w:top w:val="single" w:sz="4" w:space="0" w:color="auto"/>
            </w:tcBorders>
            <w:vAlign w:val="center"/>
          </w:tcPr>
          <w:p w:rsidR="00235EF5" w:rsidRDefault="00235EF5" w:rsidP="00235EF5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●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b/>
              </w:rPr>
              <w:t>课堂小结</w:t>
            </w:r>
          </w:p>
          <w:p w:rsidR="00235EF5" w:rsidRDefault="00235EF5" w:rsidP="00235EF5">
            <w:pPr>
              <w:spacing w:line="240" w:lineRule="atLeast"/>
              <w:ind w:right="-147" w:firstLineChars="150" w:firstLine="315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、讲课小结</w:t>
            </w:r>
          </w:p>
          <w:p w:rsidR="00235EF5" w:rsidRPr="00235EF5" w:rsidRDefault="00DF4CCD" w:rsidP="00235EF5">
            <w:pPr>
              <w:spacing w:line="240" w:lineRule="atLeast"/>
              <w:ind w:right="-147" w:firstLineChars="150" w:firstLine="31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本次教学主要介绍了社会工作</w:t>
            </w:r>
            <w:r w:rsidR="00951CA8">
              <w:rPr>
                <w:rFonts w:ascii="宋体" w:hint="eastAsia"/>
                <w:szCs w:val="21"/>
              </w:rPr>
              <w:t>的专业伦理</w:t>
            </w:r>
            <w:r>
              <w:rPr>
                <w:rFonts w:ascii="宋体" w:hint="eastAsia"/>
                <w:szCs w:val="21"/>
              </w:rPr>
              <w:t>，</w:t>
            </w:r>
            <w:r w:rsidR="00951CA8">
              <w:rPr>
                <w:rFonts w:ascii="宋体" w:hint="eastAsia"/>
                <w:szCs w:val="21"/>
              </w:rPr>
              <w:t>包括专业伦理的意义和具体要求，重点讲述了社会工作在直接、间接领域的专业伦理要求，同时进行了伦理对话辨析的实践演练</w:t>
            </w:r>
            <w:r w:rsidR="00235EF5">
              <w:rPr>
                <w:rFonts w:ascii="宋体" w:hint="eastAsia"/>
                <w:szCs w:val="21"/>
              </w:rPr>
              <w:t>（</w:t>
            </w:r>
            <w:r w:rsidR="00951CA8">
              <w:rPr>
                <w:rFonts w:ascii="宋体" w:hint="eastAsia"/>
                <w:szCs w:val="21"/>
              </w:rPr>
              <w:t>2</w:t>
            </w:r>
            <w:r w:rsidR="00235EF5">
              <w:rPr>
                <w:rFonts w:ascii="宋体" w:hint="eastAsia"/>
                <w:szCs w:val="21"/>
              </w:rPr>
              <w:t>分钟）；</w:t>
            </w:r>
          </w:p>
          <w:p w:rsidR="00951CA8" w:rsidRDefault="00235EF5" w:rsidP="00553088">
            <w:pPr>
              <w:spacing w:line="240" w:lineRule="atLeast"/>
              <w:ind w:right="-147"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="008C6365">
              <w:rPr>
                <w:rFonts w:ascii="宋体" w:hAnsi="宋体" w:hint="eastAsia"/>
                <w:szCs w:val="21"/>
              </w:rPr>
              <w:t>、回家作业：</w:t>
            </w:r>
            <w:r w:rsidR="00951CA8">
              <w:rPr>
                <w:rFonts w:ascii="宋体" w:hAnsi="宋体" w:hint="eastAsia"/>
                <w:szCs w:val="21"/>
              </w:rPr>
              <w:t>伦理对话的分析</w:t>
            </w:r>
            <w:r w:rsidR="006D0A5B">
              <w:rPr>
                <w:rFonts w:ascii="宋体" w:hAnsi="宋体" w:hint="eastAsia"/>
                <w:szCs w:val="21"/>
              </w:rPr>
              <w:t>；</w:t>
            </w:r>
          </w:p>
          <w:p w:rsidR="00235EF5" w:rsidRPr="00235EF5" w:rsidRDefault="00951CA8" w:rsidP="00553088">
            <w:pPr>
              <w:spacing w:line="240" w:lineRule="atLeast"/>
              <w:ind w:right="-147"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3、课程预习：伦理困境及其抉择</w:t>
            </w:r>
            <w:r w:rsidR="00235EF5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235EF5" w:rsidTr="00FD6E8A">
        <w:trPr>
          <w:trHeight w:val="2033"/>
          <w:jc w:val="center"/>
        </w:trPr>
        <w:tc>
          <w:tcPr>
            <w:tcW w:w="138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5EF5" w:rsidRDefault="00235EF5" w:rsidP="00FD6E8A">
            <w:pPr>
              <w:jc w:val="center"/>
            </w:pPr>
            <w:r>
              <w:rPr>
                <w:rFonts w:hint="eastAsia"/>
              </w:rPr>
              <w:t>课后小结</w:t>
            </w:r>
          </w:p>
        </w:tc>
        <w:tc>
          <w:tcPr>
            <w:tcW w:w="743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bottom"/>
          </w:tcPr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16" w:firstLine="2774"/>
              <w:rPr>
                <w:b/>
              </w:rPr>
            </w:pPr>
          </w:p>
        </w:tc>
      </w:tr>
    </w:tbl>
    <w:p w:rsidR="00F56204" w:rsidRDefault="00F56204" w:rsidP="00F56204"/>
    <w:p w:rsidR="00083BD5" w:rsidRDefault="00083BD5" w:rsidP="00F56204"/>
    <w:sectPr w:rsidR="00083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064" w:rsidRDefault="00585064" w:rsidP="00BA6861">
      <w:r>
        <w:separator/>
      </w:r>
    </w:p>
  </w:endnote>
  <w:endnote w:type="continuationSeparator" w:id="0">
    <w:p w:rsidR="00585064" w:rsidRDefault="00585064" w:rsidP="00BA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064" w:rsidRDefault="00585064" w:rsidP="00BA6861">
      <w:r>
        <w:separator/>
      </w:r>
    </w:p>
  </w:footnote>
  <w:footnote w:type="continuationSeparator" w:id="0">
    <w:p w:rsidR="00585064" w:rsidRDefault="00585064" w:rsidP="00BA6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302"/>
    <w:multiLevelType w:val="multilevel"/>
    <w:tmpl w:val="C3C02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D55316B"/>
    <w:multiLevelType w:val="hybridMultilevel"/>
    <w:tmpl w:val="074AF800"/>
    <w:lvl w:ilvl="0" w:tplc="C6B23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245A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2C68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2AA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E40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96FC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5E3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127E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C4F6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00DE8"/>
    <w:multiLevelType w:val="hybridMultilevel"/>
    <w:tmpl w:val="5282BC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AA65A53"/>
    <w:multiLevelType w:val="hybridMultilevel"/>
    <w:tmpl w:val="FD2076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E9C436A"/>
    <w:multiLevelType w:val="multilevel"/>
    <w:tmpl w:val="EDDA7B88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3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5">
    <w:nsid w:val="2EC575EC"/>
    <w:multiLevelType w:val="multilevel"/>
    <w:tmpl w:val="122C94F4"/>
    <w:lvl w:ilvl="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BFC78BA"/>
    <w:multiLevelType w:val="hybridMultilevel"/>
    <w:tmpl w:val="AE84A2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8742F57"/>
    <w:multiLevelType w:val="hybridMultilevel"/>
    <w:tmpl w:val="BF3A98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EA558F9"/>
    <w:multiLevelType w:val="hybridMultilevel"/>
    <w:tmpl w:val="07BCF9FE"/>
    <w:lvl w:ilvl="0" w:tplc="3C96A5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E266FD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4A22D9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01C08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7FC085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ECE0E8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CA0F5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C6E46B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81AC5B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4"/>
    <w:rsid w:val="00024B14"/>
    <w:rsid w:val="00053B0B"/>
    <w:rsid w:val="0007518B"/>
    <w:rsid w:val="00083BD5"/>
    <w:rsid w:val="00086EB6"/>
    <w:rsid w:val="0011181B"/>
    <w:rsid w:val="00187200"/>
    <w:rsid w:val="001A5F83"/>
    <w:rsid w:val="001E71B6"/>
    <w:rsid w:val="00235EF5"/>
    <w:rsid w:val="00277C5B"/>
    <w:rsid w:val="00310A0C"/>
    <w:rsid w:val="003A372A"/>
    <w:rsid w:val="00400DA0"/>
    <w:rsid w:val="004927A0"/>
    <w:rsid w:val="004E0D6E"/>
    <w:rsid w:val="00507D38"/>
    <w:rsid w:val="005518B0"/>
    <w:rsid w:val="00553088"/>
    <w:rsid w:val="00565F7D"/>
    <w:rsid w:val="00585064"/>
    <w:rsid w:val="00595BF8"/>
    <w:rsid w:val="006D0A5B"/>
    <w:rsid w:val="00726EF2"/>
    <w:rsid w:val="007657B4"/>
    <w:rsid w:val="00791589"/>
    <w:rsid w:val="007E6516"/>
    <w:rsid w:val="00894AA2"/>
    <w:rsid w:val="008C6365"/>
    <w:rsid w:val="008C7938"/>
    <w:rsid w:val="00951CA8"/>
    <w:rsid w:val="009C26F0"/>
    <w:rsid w:val="00AB7861"/>
    <w:rsid w:val="00AD4F85"/>
    <w:rsid w:val="00AF4D32"/>
    <w:rsid w:val="00B34BDF"/>
    <w:rsid w:val="00BA6861"/>
    <w:rsid w:val="00BB46EE"/>
    <w:rsid w:val="00BC6C05"/>
    <w:rsid w:val="00BD530F"/>
    <w:rsid w:val="00CC011A"/>
    <w:rsid w:val="00D53396"/>
    <w:rsid w:val="00DA21DC"/>
    <w:rsid w:val="00DA2429"/>
    <w:rsid w:val="00DF4CCD"/>
    <w:rsid w:val="00E65A8B"/>
    <w:rsid w:val="00EB75AC"/>
    <w:rsid w:val="00F1527C"/>
    <w:rsid w:val="00F155BE"/>
    <w:rsid w:val="00F3093F"/>
    <w:rsid w:val="00F352A1"/>
    <w:rsid w:val="00F44FE4"/>
    <w:rsid w:val="00F55D57"/>
    <w:rsid w:val="00F56204"/>
    <w:rsid w:val="00F644EF"/>
    <w:rsid w:val="00F97841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EF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A6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6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927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EF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A6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6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927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80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368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721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17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8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9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F2DD5-CC9A-426A-B26E-338FB15F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178</Words>
  <Characters>1017</Characters>
  <Application>Microsoft Office Word</Application>
  <DocSecurity>0</DocSecurity>
  <Lines>8</Lines>
  <Paragraphs>2</Paragraphs>
  <ScaleCrop>false</ScaleCrop>
  <Company>Lenovo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Crystal Chin</dc:creator>
  <cp:lastModifiedBy>Windows 用户</cp:lastModifiedBy>
  <cp:revision>8</cp:revision>
  <cp:lastPrinted>2018-04-17T04:33:00Z</cp:lastPrinted>
  <dcterms:created xsi:type="dcterms:W3CDTF">2018-05-01T05:54:00Z</dcterms:created>
  <dcterms:modified xsi:type="dcterms:W3CDTF">2018-05-06T21:47:00Z</dcterms:modified>
</cp:coreProperties>
</file>